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639"/>
      </w:tblGrid>
      <w:tr w:rsidR="00A4422A" w14:paraId="1EA130EF" w14:textId="77777777" w:rsidTr="00A4106E">
        <w:tc>
          <w:tcPr>
            <w:tcW w:w="9639" w:type="dxa"/>
          </w:tcPr>
          <w:p w14:paraId="7AA4C832" w14:textId="41D7C080" w:rsidR="00A4422A" w:rsidRDefault="00A4422A" w:rsidP="00B53048">
            <w:pPr>
              <w:pStyle w:val="AOFPTxt"/>
              <w:widowControl w:val="0"/>
              <w:jc w:val="left"/>
            </w:pPr>
            <w:bookmarkStart w:id="0" w:name="bmkFrontPageTable"/>
            <w:bookmarkStart w:id="1" w:name="bmkFrontPage"/>
            <w:bookmarkStart w:id="2" w:name="bmkPrimaryFrontPage"/>
            <w:bookmarkStart w:id="3" w:name="bmkFrontPageedd833ac684641308a692b16bd0c"/>
          </w:p>
        </w:tc>
      </w:tr>
      <w:tr w:rsidR="00A4422A" w14:paraId="69AB1277" w14:textId="77777777" w:rsidTr="00A4106E">
        <w:trPr>
          <w:trHeight w:val="3459"/>
        </w:trPr>
        <w:tc>
          <w:tcPr>
            <w:tcW w:w="9639" w:type="dxa"/>
            <w:vAlign w:val="center"/>
          </w:tcPr>
          <w:p w14:paraId="381DA425" w14:textId="77777777" w:rsidR="00CD7F22" w:rsidRDefault="00CD7F22" w:rsidP="00CD7F22">
            <w:pPr>
              <w:pStyle w:val="AOFPTitle"/>
              <w:widowControl w:val="0"/>
              <w:rPr>
                <w:lang w:val="es-ES"/>
              </w:rPr>
            </w:pPr>
            <w:r>
              <w:rPr>
                <w:lang w:val="es-ES"/>
              </w:rPr>
              <w:t>pÓLIZA de NOVACIÓN, extensión y ratificación de prendaS Y NOVACIÓN DE GARANTÍA A PRIMER REQUERIMIENTO</w:t>
            </w:r>
          </w:p>
          <w:p w14:paraId="642EFD40" w14:textId="77777777" w:rsidR="00CD7F22" w:rsidRPr="00D12E5B" w:rsidRDefault="00CD7F22" w:rsidP="00CD7F22">
            <w:pPr>
              <w:pStyle w:val="AOFPTitle"/>
              <w:widowControl w:val="0"/>
            </w:pPr>
            <w:r w:rsidRPr="00D12E5B">
              <w:t>/</w:t>
            </w:r>
          </w:p>
          <w:p w14:paraId="2DCE9807" w14:textId="79B669F8" w:rsidR="00A4422A" w:rsidRDefault="00CD7F22" w:rsidP="00CD7F22">
            <w:pPr>
              <w:pStyle w:val="AOFPTitle"/>
              <w:widowControl w:val="0"/>
            </w:pPr>
            <w:r>
              <w:t>deed of AMENDMENT, extension and ratification of pledgeS, AND OF AMENDMENT OF FIRST DEMAND GUARANTEE</w:t>
            </w:r>
          </w:p>
        </w:tc>
      </w:tr>
      <w:tr w:rsidR="00A4422A" w14:paraId="39FFFD34" w14:textId="77777777" w:rsidTr="00A4106E">
        <w:trPr>
          <w:trHeight w:val="242"/>
        </w:trPr>
        <w:tc>
          <w:tcPr>
            <w:tcW w:w="9639" w:type="dxa"/>
          </w:tcPr>
          <w:p w14:paraId="62F05BD6" w14:textId="375954ED" w:rsidR="00A4422A" w:rsidRPr="006B36E2" w:rsidRDefault="009B4DF3" w:rsidP="009D6A43">
            <w:pPr>
              <w:pStyle w:val="AOFPTxt"/>
              <w:widowControl w:val="0"/>
              <w:rPr>
                <w:szCs w:val="20"/>
                <w:highlight w:val="yellow"/>
              </w:rPr>
            </w:pPr>
            <w:r>
              <w:t>[</w:t>
            </w:r>
            <w:r>
              <w:sym w:font="Wingdings" w:char="F06C"/>
            </w:r>
            <w:r>
              <w:t xml:space="preserve">] </w:t>
            </w:r>
            <w:r w:rsidR="000A4442">
              <w:t xml:space="preserve">de </w:t>
            </w:r>
            <w:proofErr w:type="spellStart"/>
            <w:r w:rsidR="00E81EBD">
              <w:t>junio</w:t>
            </w:r>
            <w:proofErr w:type="spellEnd"/>
            <w:r>
              <w:t xml:space="preserve"> </w:t>
            </w:r>
            <w:r w:rsidR="000A4442" w:rsidRPr="00901F23">
              <w:t xml:space="preserve">de </w:t>
            </w:r>
            <w:r>
              <w:t xml:space="preserve">2025 </w:t>
            </w:r>
            <w:r w:rsidR="000A4442">
              <w:t xml:space="preserve">/ </w:t>
            </w:r>
            <w:r>
              <w:t>[</w:t>
            </w:r>
            <w:r>
              <w:sym w:font="Wingdings" w:char="F06C"/>
            </w:r>
            <w:r>
              <w:t xml:space="preserve">] </w:t>
            </w:r>
            <w:r w:rsidR="00E81EBD">
              <w:t xml:space="preserve">June </w:t>
            </w:r>
            <w:r w:rsidR="000A4442">
              <w:t>202</w:t>
            </w:r>
            <w:r>
              <w:t>5</w:t>
            </w:r>
          </w:p>
        </w:tc>
      </w:tr>
      <w:tr w:rsidR="00A4422A" w:rsidRPr="00BA0366" w14:paraId="3C322F8C" w14:textId="77777777" w:rsidTr="00A4106E">
        <w:trPr>
          <w:trHeight w:val="839"/>
        </w:trPr>
        <w:tc>
          <w:tcPr>
            <w:tcW w:w="9639" w:type="dxa"/>
          </w:tcPr>
          <w:p w14:paraId="2CA19347" w14:textId="77777777" w:rsidR="00A4422A" w:rsidRPr="005B3033" w:rsidRDefault="00A4422A" w:rsidP="00B53048">
            <w:pPr>
              <w:pStyle w:val="AODocTxt"/>
              <w:widowControl w:val="0"/>
              <w:spacing w:before="0"/>
              <w:jc w:val="center"/>
              <w:rPr>
                <w:b/>
                <w:lang w:val="fr-FR"/>
              </w:rPr>
            </w:pPr>
          </w:p>
          <w:p w14:paraId="4D9BC709" w14:textId="77777777" w:rsidR="00A4422A" w:rsidRPr="005B3033" w:rsidRDefault="00A4422A" w:rsidP="00B53048">
            <w:pPr>
              <w:widowControl w:val="0"/>
              <w:jc w:val="center"/>
              <w:rPr>
                <w:lang w:val="fr-FR"/>
              </w:rPr>
            </w:pPr>
          </w:p>
          <w:p w14:paraId="6C2F7F9B" w14:textId="77777777" w:rsidR="00A4422A" w:rsidRPr="005B3033" w:rsidRDefault="00A4422A" w:rsidP="00B53048">
            <w:pPr>
              <w:pStyle w:val="AOFPTxt"/>
              <w:rPr>
                <w:lang w:val="fr-FR"/>
              </w:rPr>
            </w:pPr>
            <w:r w:rsidRPr="005B3033">
              <w:rPr>
                <w:lang w:val="fr-FR"/>
              </w:rPr>
              <w:t xml:space="preserve">BEACON RAIL FINANCE S.À R.L. </w:t>
            </w:r>
          </w:p>
          <w:p w14:paraId="753F4741" w14:textId="77777777" w:rsidR="00236E5A" w:rsidRPr="00453844" w:rsidRDefault="00236E5A" w:rsidP="00B53048">
            <w:pPr>
              <w:pStyle w:val="AOFPTxt"/>
              <w:rPr>
                <w:lang w:val="fr-FR"/>
              </w:rPr>
            </w:pPr>
            <w:r w:rsidRPr="00453844">
              <w:rPr>
                <w:lang w:val="fr-FR"/>
              </w:rPr>
              <w:t>BEACON RAIL FINANCE IBERIA, S.L.U.</w:t>
            </w:r>
          </w:p>
          <w:p w14:paraId="179D82D3" w14:textId="77777777" w:rsidR="00A4422A" w:rsidRPr="00453844" w:rsidRDefault="00A4422A" w:rsidP="00B53048">
            <w:pPr>
              <w:pStyle w:val="AOFPTxt"/>
              <w:rPr>
                <w:lang w:val="fr-FR"/>
              </w:rPr>
            </w:pPr>
            <w:proofErr w:type="spellStart"/>
            <w:proofErr w:type="gramStart"/>
            <w:r w:rsidRPr="00453844">
              <w:rPr>
                <w:lang w:val="fr-FR"/>
              </w:rPr>
              <w:t>como</w:t>
            </w:r>
            <w:proofErr w:type="spellEnd"/>
            <w:proofErr w:type="gramEnd"/>
            <w:r w:rsidRPr="00453844">
              <w:rPr>
                <w:lang w:val="fr-FR"/>
              </w:rPr>
              <w:t xml:space="preserve"> </w:t>
            </w:r>
            <w:proofErr w:type="spellStart"/>
            <w:r w:rsidRPr="00453844">
              <w:rPr>
                <w:lang w:val="fr-FR"/>
              </w:rPr>
              <w:t>Pignorante</w:t>
            </w:r>
            <w:r w:rsidR="00236E5A" w:rsidRPr="00453844">
              <w:rPr>
                <w:lang w:val="fr-FR"/>
              </w:rPr>
              <w:t>s</w:t>
            </w:r>
            <w:proofErr w:type="spellEnd"/>
            <w:r w:rsidRPr="00453844">
              <w:rPr>
                <w:lang w:val="fr-FR"/>
              </w:rPr>
              <w:t xml:space="preserve"> / as </w:t>
            </w:r>
            <w:proofErr w:type="spellStart"/>
            <w:r w:rsidRPr="00453844">
              <w:rPr>
                <w:lang w:val="fr-FR"/>
              </w:rPr>
              <w:t>Pledgor</w:t>
            </w:r>
            <w:r w:rsidR="00236E5A" w:rsidRPr="00453844">
              <w:rPr>
                <w:lang w:val="fr-FR"/>
              </w:rPr>
              <w:t>s</w:t>
            </w:r>
            <w:proofErr w:type="spellEnd"/>
          </w:p>
          <w:p w14:paraId="10B09606" w14:textId="77777777" w:rsidR="00A4422A" w:rsidRPr="00453844" w:rsidRDefault="00A4422A" w:rsidP="00B53048">
            <w:pPr>
              <w:pStyle w:val="AOFPTxt"/>
              <w:rPr>
                <w:lang w:val="fr-FR"/>
              </w:rPr>
            </w:pPr>
          </w:p>
          <w:p w14:paraId="67F1BE96" w14:textId="77777777" w:rsidR="00CD7F22" w:rsidRPr="00453844" w:rsidRDefault="00CD7F22" w:rsidP="00CD7F22">
            <w:pPr>
              <w:pStyle w:val="AOFPTxt"/>
              <w:rPr>
                <w:lang w:val="fr-FR"/>
              </w:rPr>
            </w:pPr>
          </w:p>
          <w:p w14:paraId="40297621" w14:textId="77777777" w:rsidR="00CD7F22" w:rsidRPr="00453844" w:rsidRDefault="00CD7F22" w:rsidP="00CD7F22">
            <w:pPr>
              <w:pStyle w:val="AOFPTxt"/>
              <w:rPr>
                <w:lang w:val="fr-FR"/>
              </w:rPr>
            </w:pPr>
            <w:r w:rsidRPr="00453844">
              <w:rPr>
                <w:lang w:val="fr-FR"/>
              </w:rPr>
              <w:t>BEACON RAIL FINANCE IBERIA, S.L.U.</w:t>
            </w:r>
          </w:p>
          <w:p w14:paraId="363489FF" w14:textId="11A5B093" w:rsidR="00EF576C" w:rsidRDefault="00CD7F22" w:rsidP="00CD7F22">
            <w:pPr>
              <w:pStyle w:val="AOFPTxt"/>
              <w:rPr>
                <w:lang w:val="fr-FR"/>
              </w:rPr>
            </w:pPr>
            <w:proofErr w:type="spellStart"/>
            <w:proofErr w:type="gramStart"/>
            <w:r w:rsidRPr="00453844">
              <w:rPr>
                <w:lang w:val="fr-FR"/>
              </w:rPr>
              <w:t>como</w:t>
            </w:r>
            <w:proofErr w:type="spellEnd"/>
            <w:proofErr w:type="gramEnd"/>
            <w:r w:rsidRPr="00453844">
              <w:rPr>
                <w:lang w:val="fr-FR"/>
              </w:rPr>
              <w:t xml:space="preserve"> Garante / as </w:t>
            </w:r>
            <w:proofErr w:type="spellStart"/>
            <w:r w:rsidRPr="00453844">
              <w:rPr>
                <w:lang w:val="fr-FR"/>
              </w:rPr>
              <w:t>Guarantor</w:t>
            </w:r>
            <w:proofErr w:type="spellEnd"/>
          </w:p>
          <w:p w14:paraId="180A8DE1" w14:textId="77777777" w:rsidR="00CD7F22" w:rsidRPr="00453844" w:rsidRDefault="00CD7F22" w:rsidP="00B53048">
            <w:pPr>
              <w:pStyle w:val="AOFPTxt"/>
              <w:rPr>
                <w:lang w:val="fr-FR"/>
              </w:rPr>
            </w:pPr>
          </w:p>
          <w:p w14:paraId="55D4895A" w14:textId="77777777" w:rsidR="00A4422A" w:rsidRPr="009B4DF3" w:rsidRDefault="00A4422A" w:rsidP="00B53048">
            <w:pPr>
              <w:pStyle w:val="AOFPTxt"/>
              <w:rPr>
                <w:bCs/>
                <w:lang w:val="fr-FR"/>
              </w:rPr>
            </w:pPr>
            <w:r w:rsidRPr="009B4DF3">
              <w:rPr>
                <w:bCs/>
                <w:lang w:val="fr-FR"/>
              </w:rPr>
              <w:t>ING BANK N.V.</w:t>
            </w:r>
          </w:p>
          <w:p w14:paraId="55A61B02" w14:textId="77777777" w:rsidR="00A4422A" w:rsidRPr="009B4DF3" w:rsidRDefault="00A4422A" w:rsidP="00B53048">
            <w:pPr>
              <w:pStyle w:val="AOFPTxt"/>
              <w:rPr>
                <w:lang w:val="fr-FR"/>
              </w:rPr>
            </w:pPr>
            <w:proofErr w:type="spellStart"/>
            <w:proofErr w:type="gramStart"/>
            <w:r w:rsidRPr="009B4DF3">
              <w:rPr>
                <w:lang w:val="fr-FR"/>
              </w:rPr>
              <w:t>como</w:t>
            </w:r>
            <w:proofErr w:type="spellEnd"/>
            <w:proofErr w:type="gramEnd"/>
            <w:r w:rsidRPr="009B4DF3">
              <w:rPr>
                <w:lang w:val="fr-FR"/>
              </w:rPr>
              <w:t xml:space="preserve"> Agente de </w:t>
            </w:r>
            <w:proofErr w:type="spellStart"/>
            <w:r w:rsidRPr="009B4DF3">
              <w:rPr>
                <w:lang w:val="fr-FR"/>
              </w:rPr>
              <w:t>Garantías</w:t>
            </w:r>
            <w:proofErr w:type="spellEnd"/>
            <w:r w:rsidRPr="009B4DF3">
              <w:rPr>
                <w:lang w:val="fr-FR"/>
              </w:rPr>
              <w:t xml:space="preserve"> /as Security Trustee</w:t>
            </w:r>
          </w:p>
          <w:p w14:paraId="60670958" w14:textId="77777777" w:rsidR="00A4422A" w:rsidRPr="009B4DF3" w:rsidRDefault="00A4422A" w:rsidP="00B53048">
            <w:pPr>
              <w:pStyle w:val="AOFPTxt"/>
              <w:rPr>
                <w:lang w:val="fr-FR"/>
              </w:rPr>
            </w:pPr>
          </w:p>
          <w:p w14:paraId="6BDE6B34" w14:textId="77777777" w:rsidR="00A4422A" w:rsidRPr="009B4DF3" w:rsidRDefault="00A4422A" w:rsidP="00B53048">
            <w:pPr>
              <w:pStyle w:val="AOFPTxt"/>
              <w:rPr>
                <w:lang w:val="fr-FR"/>
              </w:rPr>
            </w:pPr>
          </w:p>
          <w:p w14:paraId="4EC39BDB" w14:textId="77777777" w:rsidR="00A4422A" w:rsidRPr="00A4106E" w:rsidRDefault="00A4422A" w:rsidP="00B53048">
            <w:pPr>
              <w:pStyle w:val="AOFPTxt"/>
              <w:rPr>
                <w:lang w:val="fr-FR"/>
              </w:rPr>
            </w:pPr>
            <w:r w:rsidRPr="00A4106E">
              <w:rPr>
                <w:lang w:val="fr-FR"/>
              </w:rPr>
              <w:t xml:space="preserve">Las </w:t>
            </w:r>
            <w:proofErr w:type="spellStart"/>
            <w:r w:rsidRPr="00A4106E">
              <w:rPr>
                <w:lang w:val="fr-FR"/>
              </w:rPr>
              <w:t>entidades</w:t>
            </w:r>
            <w:proofErr w:type="spellEnd"/>
            <w:r w:rsidRPr="00A4106E">
              <w:rPr>
                <w:lang w:val="fr-FR"/>
              </w:rPr>
              <w:t xml:space="preserve"> </w:t>
            </w:r>
            <w:proofErr w:type="spellStart"/>
            <w:r w:rsidRPr="00A4106E">
              <w:rPr>
                <w:lang w:val="fr-FR"/>
              </w:rPr>
              <w:t>identificadas</w:t>
            </w:r>
            <w:proofErr w:type="spellEnd"/>
            <w:r w:rsidRPr="00A4106E">
              <w:rPr>
                <w:lang w:val="fr-FR"/>
              </w:rPr>
              <w:t xml:space="preserve"> en el </w:t>
            </w:r>
            <w:proofErr w:type="spellStart"/>
            <w:r w:rsidR="00376C7D" w:rsidRPr="00A4106E">
              <w:rPr>
                <w:lang w:val="fr-FR"/>
              </w:rPr>
              <w:t>Anexo</w:t>
            </w:r>
            <w:proofErr w:type="spellEnd"/>
            <w:r w:rsidR="00376C7D" w:rsidRPr="00A4106E">
              <w:rPr>
                <w:lang w:val="fr-FR"/>
              </w:rPr>
              <w:t xml:space="preserve"> 1</w:t>
            </w:r>
            <w:r w:rsidR="006310F5" w:rsidRPr="00A4106E">
              <w:rPr>
                <w:lang w:val="fr-FR"/>
              </w:rPr>
              <w:t xml:space="preserve"> </w:t>
            </w:r>
            <w:proofErr w:type="spellStart"/>
            <w:r w:rsidRPr="00A4106E">
              <w:rPr>
                <w:lang w:val="fr-FR"/>
              </w:rPr>
              <w:t>como</w:t>
            </w:r>
            <w:proofErr w:type="spellEnd"/>
            <w:r w:rsidRPr="00A4106E">
              <w:rPr>
                <w:lang w:val="fr-FR"/>
              </w:rPr>
              <w:t xml:space="preserve"> Partes </w:t>
            </w:r>
            <w:proofErr w:type="spellStart"/>
            <w:r w:rsidRPr="00A4106E">
              <w:rPr>
                <w:lang w:val="fr-FR"/>
              </w:rPr>
              <w:t>Garantizadas</w:t>
            </w:r>
            <w:proofErr w:type="spellEnd"/>
          </w:p>
          <w:p w14:paraId="413F050A" w14:textId="77777777" w:rsidR="00A4422A" w:rsidRPr="00E71ADA" w:rsidRDefault="00A4422A" w:rsidP="00B53048">
            <w:pPr>
              <w:pStyle w:val="AOFPTxt"/>
              <w:rPr>
                <w:lang w:val="fr-FR"/>
              </w:rPr>
            </w:pPr>
            <w:r w:rsidRPr="00E71ADA">
              <w:rPr>
                <w:lang w:val="fr-FR"/>
              </w:rPr>
              <w:t>/</w:t>
            </w:r>
          </w:p>
          <w:p w14:paraId="29B11A5D" w14:textId="77777777" w:rsidR="00A4422A" w:rsidRPr="00E71ADA" w:rsidRDefault="00A4422A" w:rsidP="00B53048">
            <w:pPr>
              <w:pStyle w:val="AOFPTxt"/>
              <w:rPr>
                <w:lang w:val="fr-FR"/>
              </w:rPr>
            </w:pPr>
            <w:r w:rsidRPr="00E71ADA">
              <w:rPr>
                <w:lang w:val="fr-FR"/>
              </w:rPr>
              <w:t xml:space="preserve">The parties </w:t>
            </w:r>
            <w:proofErr w:type="spellStart"/>
            <w:r w:rsidRPr="00E71ADA">
              <w:rPr>
                <w:lang w:val="fr-FR"/>
              </w:rPr>
              <w:t>listed</w:t>
            </w:r>
            <w:proofErr w:type="spellEnd"/>
            <w:r w:rsidRPr="00E71ADA">
              <w:rPr>
                <w:lang w:val="fr-FR"/>
              </w:rPr>
              <w:t xml:space="preserve"> in </w:t>
            </w:r>
            <w:r w:rsidR="00376C7D" w:rsidRPr="00E71ADA">
              <w:rPr>
                <w:lang w:val="fr-FR"/>
              </w:rPr>
              <w:t>Annex 1</w:t>
            </w:r>
            <w:r w:rsidR="006310F5" w:rsidRPr="00E71ADA">
              <w:rPr>
                <w:lang w:val="fr-FR"/>
              </w:rPr>
              <w:t xml:space="preserve"> </w:t>
            </w:r>
            <w:r w:rsidRPr="00E71ADA">
              <w:rPr>
                <w:lang w:val="fr-FR"/>
              </w:rPr>
              <w:t xml:space="preserve">as </w:t>
            </w:r>
            <w:proofErr w:type="spellStart"/>
            <w:r w:rsidRPr="00E71ADA">
              <w:rPr>
                <w:lang w:val="fr-FR"/>
              </w:rPr>
              <w:t>Secured</w:t>
            </w:r>
            <w:proofErr w:type="spellEnd"/>
            <w:r w:rsidRPr="00E71ADA">
              <w:rPr>
                <w:lang w:val="fr-FR"/>
              </w:rPr>
              <w:t xml:space="preserve"> Parties</w:t>
            </w:r>
          </w:p>
          <w:p w14:paraId="50D84699" w14:textId="77777777" w:rsidR="00686DC7" w:rsidRPr="00E71ADA" w:rsidRDefault="00686DC7" w:rsidP="00B53048">
            <w:pPr>
              <w:pStyle w:val="AOFPTxt"/>
              <w:rPr>
                <w:lang w:val="fr-FR"/>
              </w:rPr>
            </w:pPr>
          </w:p>
          <w:p w14:paraId="0A4D3170" w14:textId="19163C9C" w:rsidR="00376C7D" w:rsidRPr="00F7673E" w:rsidRDefault="00495A19" w:rsidP="00B53048">
            <w:pPr>
              <w:pStyle w:val="AOFPTxt"/>
              <w:rPr>
                <w:i/>
                <w:iCs/>
                <w:lang w:val="en-US"/>
              </w:rPr>
            </w:pPr>
            <w:r w:rsidRPr="00F7673E">
              <w:rPr>
                <w:i/>
                <w:iCs/>
                <w:lang w:val="en-US"/>
              </w:rPr>
              <w:t>[</w:t>
            </w:r>
            <w:r w:rsidRPr="00F7673E">
              <w:rPr>
                <w:i/>
                <w:iCs/>
                <w:highlight w:val="yellow"/>
                <w:lang w:val="en-US"/>
              </w:rPr>
              <w:t>N.B. List of Secured Parties yet to be confirmed by Security Agent</w:t>
            </w:r>
            <w:r w:rsidRPr="00F7673E">
              <w:rPr>
                <w:i/>
                <w:iCs/>
                <w:lang w:val="en-US"/>
              </w:rPr>
              <w:t>]</w:t>
            </w:r>
          </w:p>
          <w:p w14:paraId="4E6E4C62" w14:textId="77777777" w:rsidR="00A4422A" w:rsidRPr="00F7673E" w:rsidRDefault="00A4422A" w:rsidP="004E1813">
            <w:pPr>
              <w:pStyle w:val="AOFPTxt"/>
              <w:jc w:val="left"/>
              <w:rPr>
                <w:lang w:val="en-US"/>
              </w:rPr>
            </w:pPr>
          </w:p>
          <w:p w14:paraId="78753C5E" w14:textId="77777777" w:rsidR="00A4422A" w:rsidRPr="009B4DF3" w:rsidRDefault="00A4422A" w:rsidP="00B53048">
            <w:pPr>
              <w:pStyle w:val="AOFPTxt"/>
            </w:pPr>
            <w:r w:rsidRPr="009B4DF3">
              <w:t>y / and</w:t>
            </w:r>
          </w:p>
          <w:p w14:paraId="4499CA26" w14:textId="77777777" w:rsidR="00A4422A" w:rsidRPr="009B4DF3" w:rsidRDefault="00A4422A" w:rsidP="00B53048">
            <w:pPr>
              <w:pStyle w:val="AOFPTxt"/>
            </w:pPr>
          </w:p>
          <w:p w14:paraId="5AECF223" w14:textId="77777777" w:rsidR="00A4422A" w:rsidRPr="009B4DF3" w:rsidRDefault="00A4422A" w:rsidP="00B53048">
            <w:pPr>
              <w:pStyle w:val="AOFPTxt"/>
            </w:pPr>
            <w:r w:rsidRPr="009B4DF3">
              <w:t>BEACON RAIL FINANCE IBERIA, S.L.U.</w:t>
            </w:r>
          </w:p>
          <w:p w14:paraId="4F121CDA" w14:textId="77777777" w:rsidR="00A4422A" w:rsidRPr="00A9743E" w:rsidRDefault="00A4422A" w:rsidP="00B53048">
            <w:pPr>
              <w:pStyle w:val="AOFPTxt"/>
              <w:rPr>
                <w:lang w:val="es-ES"/>
              </w:rPr>
            </w:pPr>
            <w:r>
              <w:rPr>
                <w:lang w:val="es-ES"/>
              </w:rPr>
              <w:t>como Sociedad / as Company</w:t>
            </w:r>
          </w:p>
          <w:p w14:paraId="04E9C5DE" w14:textId="77777777" w:rsidR="00A4422A" w:rsidRPr="008060E0" w:rsidRDefault="00A4422A" w:rsidP="00B53048">
            <w:pPr>
              <w:pStyle w:val="AOFPTxt"/>
              <w:rPr>
                <w:lang w:val="es-ES"/>
              </w:rPr>
            </w:pPr>
          </w:p>
          <w:p w14:paraId="175893FE" w14:textId="77777777" w:rsidR="00A4422A" w:rsidRPr="007E76D0" w:rsidRDefault="00A4422A" w:rsidP="00B53048">
            <w:pPr>
              <w:pStyle w:val="AOFPTxt"/>
              <w:widowControl w:val="0"/>
              <w:rPr>
                <w:b w:val="0"/>
                <w:lang w:val="es"/>
              </w:rPr>
            </w:pPr>
          </w:p>
        </w:tc>
      </w:tr>
      <w:bookmarkEnd w:id="0"/>
    </w:tbl>
    <w:p w14:paraId="43E21E67" w14:textId="77777777" w:rsidR="00A4422A" w:rsidRPr="00686DC7" w:rsidRDefault="00A4422A" w:rsidP="00A4422A">
      <w:pPr>
        <w:pStyle w:val="AONormal"/>
        <w:widowControl w:val="0"/>
      </w:pPr>
    </w:p>
    <w:p w14:paraId="54B52CEF" w14:textId="77777777" w:rsidR="00A4422A" w:rsidRDefault="00A4422A" w:rsidP="00A4422A">
      <w:pPr>
        <w:pStyle w:val="AOTOCTitle"/>
        <w:widowControl w:val="0"/>
        <w:rPr>
          <w:lang w:val="es-ES"/>
        </w:rPr>
      </w:pPr>
      <w:r w:rsidRPr="00A87103">
        <w:rPr>
          <w:lang w:val="es-ES"/>
        </w:rPr>
        <w:br w:type="page"/>
      </w:r>
      <w:r>
        <w:rPr>
          <w:lang w:val="es-ES"/>
        </w:rPr>
        <w:lastRenderedPageBreak/>
        <w:t>Índice / Index</w:t>
      </w:r>
    </w:p>
    <w:p w14:paraId="69B5E98B" w14:textId="60FF04FA" w:rsidR="002166C4" w:rsidRPr="00A87103" w:rsidRDefault="002166C4" w:rsidP="002166C4">
      <w:pPr>
        <w:pStyle w:val="AOTOCHeading"/>
        <w:spacing w:after="120"/>
        <w:jc w:val="left"/>
        <w:rPr>
          <w:lang w:val="es-ES"/>
        </w:rPr>
      </w:pPr>
      <w:bookmarkStart w:id="4" w:name="_tocHeader_fb45585bfd5840d09bacb8f6cdf91"/>
      <w:bookmarkStart w:id="5" w:name="_tocHeader_247e1fbafd7945a6a1cfdf4482a5a"/>
      <w:r w:rsidRPr="00A87103">
        <w:rPr>
          <w:lang w:val="es-ES"/>
        </w:rPr>
        <w:t>Clausula</w:t>
      </w:r>
      <w:r w:rsidRPr="002166C4">
        <w:ptab w:relativeTo="margin" w:alignment="right" w:leader="none"/>
      </w:r>
      <w:r w:rsidRPr="00A87103">
        <w:rPr>
          <w:lang w:val="es-ES"/>
        </w:rPr>
        <w:t>Page</w:t>
      </w:r>
    </w:p>
    <w:bookmarkEnd w:id="4"/>
    <w:p w14:paraId="6EDB45EB" w14:textId="41FA6A8C" w:rsidR="002166C4" w:rsidRPr="00A87103" w:rsidRDefault="002166C4">
      <w:pPr>
        <w:pStyle w:val="TOC1"/>
        <w:rPr>
          <w:rFonts w:asciiTheme="minorHAnsi" w:eastAsiaTheme="minorEastAsia" w:hAnsiTheme="minorHAnsi" w:cstheme="minorBidi"/>
          <w:noProof/>
          <w:kern w:val="2"/>
          <w:sz w:val="24"/>
          <w:szCs w:val="24"/>
          <w:lang w:val="es-ES"/>
          <w14:ligatures w14:val="standardContextual"/>
        </w:rPr>
      </w:pPr>
      <w:r>
        <w:fldChar w:fldCharType="begin"/>
      </w:r>
      <w:r w:rsidRPr="00A87103">
        <w:rPr>
          <w:lang w:val="es-ES"/>
        </w:rPr>
        <w:instrText xml:space="preserve"> TOC \f D \t "AOHead1,1" GUID=c10eb16c-671b-4eb7-8318-91c0c2b36558</w:instrText>
      </w:r>
      <w:r>
        <w:fldChar w:fldCharType="separate"/>
      </w:r>
      <w:r w:rsidRPr="00112FC0">
        <w:rPr>
          <w:noProof/>
          <w:lang w:val="es-ES"/>
        </w:rPr>
        <w:t>1.</w:t>
      </w:r>
      <w:r w:rsidRPr="00A87103">
        <w:rPr>
          <w:rFonts w:asciiTheme="minorHAnsi" w:eastAsiaTheme="minorEastAsia" w:hAnsiTheme="minorHAnsi" w:cstheme="minorBidi"/>
          <w:noProof/>
          <w:kern w:val="2"/>
          <w:sz w:val="24"/>
          <w:szCs w:val="24"/>
          <w:lang w:val="es-ES"/>
          <w14:ligatures w14:val="standardContextual"/>
        </w:rPr>
        <w:tab/>
      </w:r>
      <w:r w:rsidRPr="00112FC0">
        <w:rPr>
          <w:noProof/>
          <w:lang w:val="es-ES"/>
        </w:rPr>
        <w:t>Interpretación</w:t>
      </w:r>
      <w:r w:rsidRPr="00A87103">
        <w:rPr>
          <w:noProof/>
          <w:lang w:val="es-ES"/>
        </w:rPr>
        <w:tab/>
      </w:r>
      <w:r>
        <w:rPr>
          <w:noProof/>
        </w:rPr>
        <w:fldChar w:fldCharType="begin"/>
      </w:r>
      <w:r w:rsidRPr="00A87103">
        <w:rPr>
          <w:noProof/>
          <w:lang w:val="es-ES"/>
        </w:rPr>
        <w:instrText xml:space="preserve"> PAGEREF _Toc198658669 \h </w:instrText>
      </w:r>
      <w:r>
        <w:rPr>
          <w:noProof/>
        </w:rPr>
      </w:r>
      <w:r>
        <w:rPr>
          <w:noProof/>
        </w:rPr>
        <w:fldChar w:fldCharType="separate"/>
      </w:r>
      <w:r w:rsidR="00515A5E">
        <w:rPr>
          <w:noProof/>
          <w:lang w:val="es-ES"/>
        </w:rPr>
        <w:t>36</w:t>
      </w:r>
      <w:r>
        <w:rPr>
          <w:noProof/>
        </w:rPr>
        <w:fldChar w:fldCharType="end"/>
      </w:r>
    </w:p>
    <w:p w14:paraId="6D1647BF" w14:textId="412A72CB"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112FC0">
        <w:rPr>
          <w:noProof/>
          <w:lang w:val="es-ES"/>
        </w:rPr>
        <w:t>2.</w:t>
      </w:r>
      <w:r w:rsidRPr="002166C4">
        <w:rPr>
          <w:rFonts w:asciiTheme="minorHAnsi" w:eastAsiaTheme="minorEastAsia" w:hAnsiTheme="minorHAnsi" w:cstheme="minorBidi"/>
          <w:noProof/>
          <w:kern w:val="2"/>
          <w:sz w:val="24"/>
          <w:szCs w:val="24"/>
          <w:lang w:val="es-ES"/>
          <w14:ligatures w14:val="standardContextual"/>
        </w:rPr>
        <w:tab/>
      </w:r>
      <w:r w:rsidRPr="00112FC0">
        <w:rPr>
          <w:noProof/>
          <w:lang w:val="es-ES"/>
        </w:rPr>
        <w:t>Extensión de las Prendas a las nuevas obligaciones garantizadas</w:t>
      </w:r>
      <w:r w:rsidRPr="002166C4">
        <w:rPr>
          <w:noProof/>
          <w:lang w:val="es-ES"/>
        </w:rPr>
        <w:tab/>
      </w:r>
      <w:r>
        <w:rPr>
          <w:noProof/>
        </w:rPr>
        <w:fldChar w:fldCharType="begin"/>
      </w:r>
      <w:r w:rsidRPr="002166C4">
        <w:rPr>
          <w:noProof/>
          <w:lang w:val="es-ES"/>
        </w:rPr>
        <w:instrText xml:space="preserve"> PAGEREF _Toc198658670 \h </w:instrText>
      </w:r>
      <w:r>
        <w:rPr>
          <w:noProof/>
        </w:rPr>
      </w:r>
      <w:r>
        <w:rPr>
          <w:noProof/>
        </w:rPr>
        <w:fldChar w:fldCharType="separate"/>
      </w:r>
      <w:r w:rsidR="00515A5E">
        <w:rPr>
          <w:noProof/>
          <w:lang w:val="es-ES"/>
        </w:rPr>
        <w:t>37</w:t>
      </w:r>
      <w:r>
        <w:rPr>
          <w:noProof/>
        </w:rPr>
        <w:fldChar w:fldCharType="end"/>
      </w:r>
    </w:p>
    <w:p w14:paraId="0ACB6280" w14:textId="734C4E09"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112FC0">
        <w:rPr>
          <w:noProof/>
          <w:lang w:val="es-ES"/>
        </w:rPr>
        <w:t>3.</w:t>
      </w:r>
      <w:r w:rsidRPr="002166C4">
        <w:rPr>
          <w:rFonts w:asciiTheme="minorHAnsi" w:eastAsiaTheme="minorEastAsia" w:hAnsiTheme="minorHAnsi" w:cstheme="minorBidi"/>
          <w:noProof/>
          <w:kern w:val="2"/>
          <w:sz w:val="24"/>
          <w:szCs w:val="24"/>
          <w:lang w:val="es-ES"/>
          <w14:ligatures w14:val="standardContextual"/>
        </w:rPr>
        <w:tab/>
      </w:r>
      <w:r w:rsidRPr="00112FC0">
        <w:rPr>
          <w:noProof/>
          <w:lang w:val="es-ES"/>
        </w:rPr>
        <w:t>Ratificación de las Prendas</w:t>
      </w:r>
      <w:r w:rsidRPr="002166C4">
        <w:rPr>
          <w:noProof/>
          <w:lang w:val="es-ES"/>
        </w:rPr>
        <w:tab/>
      </w:r>
      <w:r>
        <w:rPr>
          <w:noProof/>
        </w:rPr>
        <w:fldChar w:fldCharType="begin"/>
      </w:r>
      <w:r w:rsidRPr="002166C4">
        <w:rPr>
          <w:noProof/>
          <w:lang w:val="es-ES"/>
        </w:rPr>
        <w:instrText xml:space="preserve"> PAGEREF _Toc198658671 \h </w:instrText>
      </w:r>
      <w:r>
        <w:rPr>
          <w:noProof/>
        </w:rPr>
      </w:r>
      <w:r>
        <w:rPr>
          <w:noProof/>
        </w:rPr>
        <w:fldChar w:fldCharType="separate"/>
      </w:r>
      <w:r w:rsidR="00515A5E">
        <w:rPr>
          <w:noProof/>
          <w:lang w:val="es-ES"/>
        </w:rPr>
        <w:t>38</w:t>
      </w:r>
      <w:r>
        <w:rPr>
          <w:noProof/>
        </w:rPr>
        <w:fldChar w:fldCharType="end"/>
      </w:r>
    </w:p>
    <w:p w14:paraId="378E8292" w14:textId="1B41D25D"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112FC0">
        <w:rPr>
          <w:noProof/>
          <w:lang w:val="es-ES"/>
        </w:rPr>
        <w:t>4.</w:t>
      </w:r>
      <w:r w:rsidRPr="002166C4">
        <w:rPr>
          <w:rFonts w:asciiTheme="minorHAnsi" w:eastAsiaTheme="minorEastAsia" w:hAnsiTheme="minorHAnsi" w:cstheme="minorBidi"/>
          <w:noProof/>
          <w:kern w:val="2"/>
          <w:sz w:val="24"/>
          <w:szCs w:val="24"/>
          <w:lang w:val="es-ES"/>
          <w14:ligatures w14:val="standardContextual"/>
        </w:rPr>
        <w:tab/>
      </w:r>
      <w:r w:rsidRPr="00112FC0">
        <w:rPr>
          <w:noProof/>
          <w:lang w:val="es-ES"/>
        </w:rPr>
        <w:t>Interpretación de las Pólizas de Prenda</w:t>
      </w:r>
      <w:r w:rsidRPr="002166C4">
        <w:rPr>
          <w:noProof/>
          <w:lang w:val="es-ES"/>
        </w:rPr>
        <w:tab/>
      </w:r>
      <w:r>
        <w:rPr>
          <w:noProof/>
        </w:rPr>
        <w:fldChar w:fldCharType="begin"/>
      </w:r>
      <w:r w:rsidRPr="002166C4">
        <w:rPr>
          <w:noProof/>
          <w:lang w:val="es-ES"/>
        </w:rPr>
        <w:instrText xml:space="preserve"> PAGEREF _Toc198658672 \h </w:instrText>
      </w:r>
      <w:r>
        <w:rPr>
          <w:noProof/>
        </w:rPr>
      </w:r>
      <w:r>
        <w:rPr>
          <w:noProof/>
        </w:rPr>
        <w:fldChar w:fldCharType="separate"/>
      </w:r>
      <w:r w:rsidR="00515A5E">
        <w:rPr>
          <w:noProof/>
          <w:lang w:val="es-ES"/>
        </w:rPr>
        <w:t>39</w:t>
      </w:r>
      <w:r>
        <w:rPr>
          <w:noProof/>
        </w:rPr>
        <w:fldChar w:fldCharType="end"/>
      </w:r>
    </w:p>
    <w:p w14:paraId="7133EC1C" w14:textId="17DB706A"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112FC0">
        <w:rPr>
          <w:noProof/>
          <w:lang w:val="es-ES"/>
        </w:rPr>
        <w:t>5.</w:t>
      </w:r>
      <w:r w:rsidRPr="002166C4">
        <w:rPr>
          <w:rFonts w:asciiTheme="minorHAnsi" w:eastAsiaTheme="minorEastAsia" w:hAnsiTheme="minorHAnsi" w:cstheme="minorBidi"/>
          <w:noProof/>
          <w:kern w:val="2"/>
          <w:sz w:val="24"/>
          <w:szCs w:val="24"/>
          <w:lang w:val="es-ES"/>
          <w14:ligatures w14:val="standardContextual"/>
        </w:rPr>
        <w:tab/>
      </w:r>
      <w:r w:rsidRPr="00112FC0">
        <w:rPr>
          <w:noProof/>
          <w:lang w:val="es-ES"/>
        </w:rPr>
        <w:t>Formalidades relativas a la ratificación de las Prendas</w:t>
      </w:r>
      <w:r w:rsidRPr="002166C4">
        <w:rPr>
          <w:noProof/>
          <w:lang w:val="es-ES"/>
        </w:rPr>
        <w:tab/>
      </w:r>
      <w:r>
        <w:rPr>
          <w:noProof/>
        </w:rPr>
        <w:fldChar w:fldCharType="begin"/>
      </w:r>
      <w:r w:rsidRPr="002166C4">
        <w:rPr>
          <w:noProof/>
          <w:lang w:val="es-ES"/>
        </w:rPr>
        <w:instrText xml:space="preserve"> PAGEREF _Toc198658673 \h </w:instrText>
      </w:r>
      <w:r>
        <w:rPr>
          <w:noProof/>
        </w:rPr>
      </w:r>
      <w:r>
        <w:rPr>
          <w:noProof/>
        </w:rPr>
        <w:fldChar w:fldCharType="separate"/>
      </w:r>
      <w:r w:rsidR="00515A5E">
        <w:rPr>
          <w:noProof/>
          <w:lang w:val="es-ES"/>
        </w:rPr>
        <w:t>40</w:t>
      </w:r>
      <w:r>
        <w:rPr>
          <w:noProof/>
        </w:rPr>
        <w:fldChar w:fldCharType="end"/>
      </w:r>
    </w:p>
    <w:p w14:paraId="6FF5DC8A" w14:textId="030EDF4C"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112FC0">
        <w:rPr>
          <w:noProof/>
          <w:lang w:val="es-ES"/>
        </w:rPr>
        <w:t>6.</w:t>
      </w:r>
      <w:r w:rsidRPr="002166C4">
        <w:rPr>
          <w:rFonts w:asciiTheme="minorHAnsi" w:eastAsiaTheme="minorEastAsia" w:hAnsiTheme="minorHAnsi" w:cstheme="minorBidi"/>
          <w:noProof/>
          <w:kern w:val="2"/>
          <w:sz w:val="24"/>
          <w:szCs w:val="24"/>
          <w:lang w:val="es-ES"/>
          <w14:ligatures w14:val="standardContextual"/>
        </w:rPr>
        <w:tab/>
      </w:r>
      <w:r w:rsidRPr="00112FC0">
        <w:rPr>
          <w:rFonts w:eastAsia="Times New Roman"/>
          <w:noProof/>
          <w:lang w:val="es-ES"/>
        </w:rPr>
        <w:t>Tributos y gastos</w:t>
      </w:r>
      <w:r w:rsidRPr="002166C4">
        <w:rPr>
          <w:noProof/>
          <w:lang w:val="es-ES"/>
        </w:rPr>
        <w:tab/>
      </w:r>
      <w:r>
        <w:rPr>
          <w:noProof/>
        </w:rPr>
        <w:fldChar w:fldCharType="begin"/>
      </w:r>
      <w:r w:rsidRPr="002166C4">
        <w:rPr>
          <w:noProof/>
          <w:lang w:val="es-ES"/>
        </w:rPr>
        <w:instrText xml:space="preserve"> PAGEREF _Toc198658674 \h </w:instrText>
      </w:r>
      <w:r>
        <w:rPr>
          <w:noProof/>
        </w:rPr>
      </w:r>
      <w:r>
        <w:rPr>
          <w:noProof/>
        </w:rPr>
        <w:fldChar w:fldCharType="separate"/>
      </w:r>
      <w:r w:rsidR="00515A5E">
        <w:rPr>
          <w:noProof/>
          <w:lang w:val="es-ES"/>
        </w:rPr>
        <w:t>41</w:t>
      </w:r>
      <w:r>
        <w:rPr>
          <w:noProof/>
        </w:rPr>
        <w:fldChar w:fldCharType="end"/>
      </w:r>
    </w:p>
    <w:p w14:paraId="461A8967" w14:textId="468DC68F"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2166C4">
        <w:rPr>
          <w:noProof/>
          <w:lang w:val="es-ES"/>
        </w:rPr>
        <w:t>7.</w:t>
      </w:r>
      <w:r w:rsidRPr="002166C4">
        <w:rPr>
          <w:rFonts w:asciiTheme="minorHAnsi" w:eastAsiaTheme="minorEastAsia" w:hAnsiTheme="minorHAnsi" w:cstheme="minorBidi"/>
          <w:noProof/>
          <w:kern w:val="2"/>
          <w:sz w:val="24"/>
          <w:szCs w:val="24"/>
          <w:lang w:val="es-ES"/>
          <w14:ligatures w14:val="standardContextual"/>
        </w:rPr>
        <w:tab/>
      </w:r>
      <w:r w:rsidRPr="002166C4">
        <w:rPr>
          <w:noProof/>
          <w:lang w:val="es-ES"/>
        </w:rPr>
        <w:t>Notificaciones</w:t>
      </w:r>
      <w:r w:rsidRPr="002166C4">
        <w:rPr>
          <w:noProof/>
          <w:lang w:val="es-ES"/>
        </w:rPr>
        <w:tab/>
      </w:r>
      <w:r>
        <w:rPr>
          <w:noProof/>
        </w:rPr>
        <w:fldChar w:fldCharType="begin"/>
      </w:r>
      <w:r w:rsidRPr="002166C4">
        <w:rPr>
          <w:noProof/>
          <w:lang w:val="es-ES"/>
        </w:rPr>
        <w:instrText xml:space="preserve"> PAGEREF _Toc198658675 \h </w:instrText>
      </w:r>
      <w:r>
        <w:rPr>
          <w:noProof/>
        </w:rPr>
      </w:r>
      <w:r>
        <w:rPr>
          <w:noProof/>
        </w:rPr>
        <w:fldChar w:fldCharType="separate"/>
      </w:r>
      <w:r w:rsidR="00515A5E">
        <w:rPr>
          <w:noProof/>
          <w:lang w:val="es-ES"/>
        </w:rPr>
        <w:t>42</w:t>
      </w:r>
      <w:r>
        <w:rPr>
          <w:noProof/>
        </w:rPr>
        <w:fldChar w:fldCharType="end"/>
      </w:r>
    </w:p>
    <w:p w14:paraId="03160438" w14:textId="555CF270"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112FC0">
        <w:rPr>
          <w:noProof/>
          <w:lang w:val="es-ES_tradnl"/>
        </w:rPr>
        <w:t>8.</w:t>
      </w:r>
      <w:r w:rsidRPr="002166C4">
        <w:rPr>
          <w:rFonts w:asciiTheme="minorHAnsi" w:eastAsiaTheme="minorEastAsia" w:hAnsiTheme="minorHAnsi" w:cstheme="minorBidi"/>
          <w:noProof/>
          <w:kern w:val="2"/>
          <w:sz w:val="24"/>
          <w:szCs w:val="24"/>
          <w:lang w:val="es-ES"/>
          <w14:ligatures w14:val="standardContextual"/>
        </w:rPr>
        <w:tab/>
      </w:r>
      <w:r w:rsidRPr="00112FC0">
        <w:rPr>
          <w:rFonts w:eastAsia="Times New Roman"/>
          <w:noProof/>
          <w:lang w:val="es-ES_tradnl"/>
        </w:rPr>
        <w:t xml:space="preserve">Subsanación o complemento de </w:t>
      </w:r>
      <w:r w:rsidRPr="00112FC0">
        <w:rPr>
          <w:rFonts w:eastAsia="Times New Roman"/>
          <w:iCs/>
          <w:noProof/>
          <w:lang w:val="es-ES_tradnl"/>
        </w:rPr>
        <w:t>esta póliza</w:t>
      </w:r>
      <w:r w:rsidRPr="002166C4">
        <w:rPr>
          <w:noProof/>
          <w:lang w:val="es-ES"/>
        </w:rPr>
        <w:tab/>
      </w:r>
      <w:r>
        <w:rPr>
          <w:noProof/>
        </w:rPr>
        <w:fldChar w:fldCharType="begin"/>
      </w:r>
      <w:r w:rsidRPr="002166C4">
        <w:rPr>
          <w:noProof/>
          <w:lang w:val="es-ES"/>
        </w:rPr>
        <w:instrText xml:space="preserve"> PAGEREF _Toc198658676 \h </w:instrText>
      </w:r>
      <w:r>
        <w:rPr>
          <w:noProof/>
        </w:rPr>
      </w:r>
      <w:r>
        <w:rPr>
          <w:noProof/>
        </w:rPr>
        <w:fldChar w:fldCharType="separate"/>
      </w:r>
      <w:r w:rsidR="00515A5E">
        <w:rPr>
          <w:noProof/>
          <w:lang w:val="es-ES"/>
        </w:rPr>
        <w:t>43</w:t>
      </w:r>
      <w:r>
        <w:rPr>
          <w:noProof/>
        </w:rPr>
        <w:fldChar w:fldCharType="end"/>
      </w:r>
    </w:p>
    <w:p w14:paraId="7EAC9CF9" w14:textId="0D052F2F"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2166C4">
        <w:rPr>
          <w:noProof/>
          <w:lang w:val="es-ES"/>
        </w:rPr>
        <w:t>9.</w:t>
      </w:r>
      <w:r w:rsidRPr="002166C4">
        <w:rPr>
          <w:rFonts w:asciiTheme="minorHAnsi" w:eastAsiaTheme="minorEastAsia" w:hAnsiTheme="minorHAnsi" w:cstheme="minorBidi"/>
          <w:noProof/>
          <w:kern w:val="2"/>
          <w:sz w:val="24"/>
          <w:szCs w:val="24"/>
          <w:lang w:val="es-ES"/>
          <w14:ligatures w14:val="standardContextual"/>
        </w:rPr>
        <w:tab/>
      </w:r>
      <w:r w:rsidRPr="002166C4">
        <w:rPr>
          <w:rFonts w:eastAsia="Times New Roman"/>
          <w:noProof/>
          <w:lang w:val="es-ES"/>
        </w:rPr>
        <w:t>Idioma</w:t>
      </w:r>
      <w:r w:rsidRPr="002166C4">
        <w:rPr>
          <w:noProof/>
          <w:lang w:val="es-ES"/>
        </w:rPr>
        <w:tab/>
      </w:r>
      <w:r>
        <w:rPr>
          <w:noProof/>
        </w:rPr>
        <w:fldChar w:fldCharType="begin"/>
      </w:r>
      <w:r w:rsidRPr="002166C4">
        <w:rPr>
          <w:noProof/>
          <w:lang w:val="es-ES"/>
        </w:rPr>
        <w:instrText xml:space="preserve"> PAGEREF _Toc198658677 \h </w:instrText>
      </w:r>
      <w:r>
        <w:rPr>
          <w:noProof/>
        </w:rPr>
      </w:r>
      <w:r>
        <w:rPr>
          <w:noProof/>
        </w:rPr>
        <w:fldChar w:fldCharType="separate"/>
      </w:r>
      <w:r w:rsidR="00515A5E">
        <w:rPr>
          <w:noProof/>
          <w:lang w:val="es-ES"/>
        </w:rPr>
        <w:t>43</w:t>
      </w:r>
      <w:r>
        <w:rPr>
          <w:noProof/>
        </w:rPr>
        <w:fldChar w:fldCharType="end"/>
      </w:r>
    </w:p>
    <w:p w14:paraId="3F0F0B59" w14:textId="7F57C818"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2166C4">
        <w:rPr>
          <w:noProof/>
          <w:lang w:val="es-ES"/>
        </w:rPr>
        <w:t>10.</w:t>
      </w:r>
      <w:r w:rsidRPr="002166C4">
        <w:rPr>
          <w:rFonts w:asciiTheme="minorHAnsi" w:eastAsiaTheme="minorEastAsia" w:hAnsiTheme="minorHAnsi" w:cstheme="minorBidi"/>
          <w:noProof/>
          <w:kern w:val="2"/>
          <w:sz w:val="24"/>
          <w:szCs w:val="24"/>
          <w:lang w:val="es-ES"/>
          <w14:ligatures w14:val="standardContextual"/>
        </w:rPr>
        <w:tab/>
      </w:r>
      <w:r w:rsidRPr="002166C4">
        <w:rPr>
          <w:noProof/>
          <w:lang w:val="es-ES"/>
        </w:rPr>
        <w:t>Segundas Copias</w:t>
      </w:r>
      <w:r w:rsidRPr="002166C4">
        <w:rPr>
          <w:noProof/>
          <w:lang w:val="es-ES"/>
        </w:rPr>
        <w:tab/>
      </w:r>
      <w:r>
        <w:rPr>
          <w:noProof/>
        </w:rPr>
        <w:fldChar w:fldCharType="begin"/>
      </w:r>
      <w:r w:rsidRPr="002166C4">
        <w:rPr>
          <w:noProof/>
          <w:lang w:val="es-ES"/>
        </w:rPr>
        <w:instrText xml:space="preserve"> PAGEREF _Toc198658678 \h </w:instrText>
      </w:r>
      <w:r>
        <w:rPr>
          <w:noProof/>
        </w:rPr>
      </w:r>
      <w:r>
        <w:rPr>
          <w:noProof/>
        </w:rPr>
        <w:fldChar w:fldCharType="separate"/>
      </w:r>
      <w:r w:rsidR="00515A5E">
        <w:rPr>
          <w:noProof/>
          <w:lang w:val="es-ES"/>
        </w:rPr>
        <w:t>43</w:t>
      </w:r>
      <w:r>
        <w:rPr>
          <w:noProof/>
        </w:rPr>
        <w:fldChar w:fldCharType="end"/>
      </w:r>
    </w:p>
    <w:p w14:paraId="3F332EB9" w14:textId="6AA320BC" w:rsidR="002166C4" w:rsidRPr="002166C4" w:rsidRDefault="002166C4">
      <w:pPr>
        <w:pStyle w:val="TOC1"/>
        <w:rPr>
          <w:rFonts w:asciiTheme="minorHAnsi" w:eastAsiaTheme="minorEastAsia" w:hAnsiTheme="minorHAnsi" w:cstheme="minorBidi"/>
          <w:noProof/>
          <w:kern w:val="2"/>
          <w:sz w:val="24"/>
          <w:szCs w:val="24"/>
          <w:lang w:val="es-ES"/>
          <w14:ligatures w14:val="standardContextual"/>
        </w:rPr>
      </w:pPr>
      <w:r w:rsidRPr="00112FC0">
        <w:rPr>
          <w:noProof/>
          <w:lang w:val="es-ES"/>
        </w:rPr>
        <w:t>11.</w:t>
      </w:r>
      <w:r w:rsidRPr="002166C4">
        <w:rPr>
          <w:rFonts w:asciiTheme="minorHAnsi" w:eastAsiaTheme="minorEastAsia" w:hAnsiTheme="minorHAnsi" w:cstheme="minorBidi"/>
          <w:noProof/>
          <w:kern w:val="2"/>
          <w:sz w:val="24"/>
          <w:szCs w:val="24"/>
          <w:lang w:val="es-ES"/>
          <w14:ligatures w14:val="standardContextual"/>
        </w:rPr>
        <w:tab/>
      </w:r>
      <w:r w:rsidRPr="00112FC0">
        <w:rPr>
          <w:noProof/>
          <w:lang w:val="es-ES"/>
        </w:rPr>
        <w:t>Legislación y jurisdicción</w:t>
      </w:r>
      <w:r w:rsidRPr="002166C4">
        <w:rPr>
          <w:noProof/>
          <w:lang w:val="es-ES"/>
        </w:rPr>
        <w:tab/>
      </w:r>
      <w:r>
        <w:rPr>
          <w:noProof/>
        </w:rPr>
        <w:fldChar w:fldCharType="begin"/>
      </w:r>
      <w:r w:rsidRPr="002166C4">
        <w:rPr>
          <w:noProof/>
          <w:lang w:val="es-ES"/>
        </w:rPr>
        <w:instrText xml:space="preserve"> PAGEREF _Toc198658679 \h </w:instrText>
      </w:r>
      <w:r>
        <w:rPr>
          <w:noProof/>
        </w:rPr>
      </w:r>
      <w:r>
        <w:rPr>
          <w:noProof/>
        </w:rPr>
        <w:fldChar w:fldCharType="separate"/>
      </w:r>
      <w:r w:rsidR="00515A5E">
        <w:rPr>
          <w:noProof/>
          <w:lang w:val="es-ES"/>
        </w:rPr>
        <w:t>44</w:t>
      </w:r>
      <w:r>
        <w:rPr>
          <w:noProof/>
        </w:rPr>
        <w:fldChar w:fldCharType="end"/>
      </w:r>
    </w:p>
    <w:p w14:paraId="0A873064" w14:textId="29943D6F" w:rsidR="002166C4" w:rsidRPr="002166C4" w:rsidRDefault="002166C4" w:rsidP="002166C4">
      <w:pPr>
        <w:pStyle w:val="AOTOCHeading"/>
        <w:spacing w:after="120"/>
        <w:jc w:val="left"/>
        <w:rPr>
          <w:lang w:val="es-ES"/>
        </w:rPr>
      </w:pPr>
      <w:r>
        <w:fldChar w:fldCharType="end"/>
      </w:r>
    </w:p>
    <w:p w14:paraId="049ED601" w14:textId="06D0923F" w:rsidR="002166C4" w:rsidRPr="002166C4" w:rsidRDefault="002166C4" w:rsidP="002166C4">
      <w:pPr>
        <w:pStyle w:val="AOTOCHeading"/>
        <w:spacing w:after="120"/>
        <w:jc w:val="left"/>
      </w:pPr>
      <w:r w:rsidRPr="002166C4">
        <w:t>Clause</w:t>
      </w:r>
      <w:r w:rsidRPr="002166C4">
        <w:ptab w:relativeTo="margin" w:alignment="right" w:leader="none"/>
      </w:r>
      <w:r w:rsidRPr="002166C4">
        <w:t>Page</w:t>
      </w:r>
    </w:p>
    <w:bookmarkEnd w:id="5"/>
    <w:p w14:paraId="4E6974BD" w14:textId="6FDCF3CE" w:rsidR="002166C4" w:rsidRDefault="002166C4">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\f C \t "</w:instrText>
      </w:r>
      <w:r w:rsidRPr="002166C4">
        <w:instrText>AOGenNum1</w:instrText>
      </w:r>
      <w:r>
        <w:instrText>,1" GUID=c10eb16c-671b-4eb7-8318-91c0c2b36558</w:instrText>
      </w:r>
      <w:r>
        <w:fldChar w:fldCharType="separate"/>
      </w:r>
      <w:r w:rsidRPr="009633D3">
        <w:rPr>
          <w:noProof/>
          <w:lang w:val="en-US"/>
        </w:rPr>
        <w:t>1.</w:t>
      </w:r>
      <w:r>
        <w:rPr>
          <w:rFonts w:asciiTheme="minorHAnsi" w:eastAsiaTheme="minorEastAsia" w:hAnsiTheme="minorHAnsi" w:cstheme="minorBidi"/>
          <w:noProof/>
          <w:kern w:val="2"/>
          <w:sz w:val="24"/>
          <w:szCs w:val="24"/>
          <w:lang w:val="en-US"/>
          <w14:ligatures w14:val="standardContextual"/>
        </w:rPr>
        <w:tab/>
      </w:r>
      <w:r w:rsidRPr="009633D3">
        <w:rPr>
          <w:noProof/>
          <w:lang w:val="en-US"/>
        </w:rPr>
        <w:t>Interpretation</w:t>
      </w:r>
      <w:r>
        <w:rPr>
          <w:noProof/>
        </w:rPr>
        <w:tab/>
      </w:r>
      <w:r>
        <w:rPr>
          <w:noProof/>
        </w:rPr>
        <w:fldChar w:fldCharType="begin"/>
      </w:r>
      <w:r>
        <w:rPr>
          <w:noProof/>
        </w:rPr>
        <w:instrText xml:space="preserve"> PAGEREF _Toc198658698 \h </w:instrText>
      </w:r>
      <w:r>
        <w:rPr>
          <w:noProof/>
        </w:rPr>
      </w:r>
      <w:r>
        <w:rPr>
          <w:noProof/>
        </w:rPr>
        <w:fldChar w:fldCharType="separate"/>
      </w:r>
      <w:r w:rsidR="00515A5E">
        <w:rPr>
          <w:noProof/>
        </w:rPr>
        <w:t>36</w:t>
      </w:r>
      <w:r>
        <w:rPr>
          <w:noProof/>
        </w:rPr>
        <w:fldChar w:fldCharType="end"/>
      </w:r>
    </w:p>
    <w:p w14:paraId="3EB05BD0" w14:textId="3B98BACC" w:rsidR="002166C4" w:rsidRDefault="002166C4">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Extension of the Pledges to the new secured obligations</w:t>
      </w:r>
      <w:r>
        <w:rPr>
          <w:noProof/>
        </w:rPr>
        <w:tab/>
      </w:r>
      <w:r>
        <w:rPr>
          <w:noProof/>
        </w:rPr>
        <w:fldChar w:fldCharType="begin"/>
      </w:r>
      <w:r>
        <w:rPr>
          <w:noProof/>
        </w:rPr>
        <w:instrText xml:space="preserve"> PAGEREF _Toc198658699 \h </w:instrText>
      </w:r>
      <w:r>
        <w:rPr>
          <w:noProof/>
        </w:rPr>
      </w:r>
      <w:r>
        <w:rPr>
          <w:noProof/>
        </w:rPr>
        <w:fldChar w:fldCharType="separate"/>
      </w:r>
      <w:r w:rsidR="00515A5E">
        <w:rPr>
          <w:noProof/>
        </w:rPr>
        <w:t>37</w:t>
      </w:r>
      <w:r>
        <w:rPr>
          <w:noProof/>
        </w:rPr>
        <w:fldChar w:fldCharType="end"/>
      </w:r>
    </w:p>
    <w:p w14:paraId="0EBF1CA6" w14:textId="3DC1C8B3" w:rsidR="002166C4" w:rsidRDefault="002166C4">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Ratification of the Pledges</w:t>
      </w:r>
      <w:r>
        <w:rPr>
          <w:noProof/>
        </w:rPr>
        <w:tab/>
      </w:r>
      <w:r>
        <w:rPr>
          <w:noProof/>
        </w:rPr>
        <w:fldChar w:fldCharType="begin"/>
      </w:r>
      <w:r>
        <w:rPr>
          <w:noProof/>
        </w:rPr>
        <w:instrText xml:space="preserve"> PAGEREF _Toc198658700 \h </w:instrText>
      </w:r>
      <w:r>
        <w:rPr>
          <w:noProof/>
        </w:rPr>
      </w:r>
      <w:r>
        <w:rPr>
          <w:noProof/>
        </w:rPr>
        <w:fldChar w:fldCharType="separate"/>
      </w:r>
      <w:r w:rsidR="00515A5E">
        <w:rPr>
          <w:noProof/>
        </w:rPr>
        <w:t>38</w:t>
      </w:r>
      <w:r>
        <w:rPr>
          <w:noProof/>
        </w:rPr>
        <w:fldChar w:fldCharType="end"/>
      </w:r>
    </w:p>
    <w:p w14:paraId="54BAB6DD" w14:textId="2288D357" w:rsidR="002166C4" w:rsidRDefault="002166C4">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Interpretation of the Deeds of Pledge</w:t>
      </w:r>
      <w:r>
        <w:rPr>
          <w:noProof/>
        </w:rPr>
        <w:tab/>
      </w:r>
      <w:r>
        <w:rPr>
          <w:noProof/>
        </w:rPr>
        <w:fldChar w:fldCharType="begin"/>
      </w:r>
      <w:r>
        <w:rPr>
          <w:noProof/>
        </w:rPr>
        <w:instrText xml:space="preserve"> PAGEREF _Toc198658701 \h </w:instrText>
      </w:r>
      <w:r>
        <w:rPr>
          <w:noProof/>
        </w:rPr>
      </w:r>
      <w:r>
        <w:rPr>
          <w:noProof/>
        </w:rPr>
        <w:fldChar w:fldCharType="separate"/>
      </w:r>
      <w:r w:rsidR="00515A5E">
        <w:rPr>
          <w:noProof/>
        </w:rPr>
        <w:t>39</w:t>
      </w:r>
      <w:r>
        <w:rPr>
          <w:noProof/>
        </w:rPr>
        <w:fldChar w:fldCharType="end"/>
      </w:r>
    </w:p>
    <w:p w14:paraId="1A061CB8" w14:textId="54C03EE2" w:rsidR="002166C4" w:rsidRDefault="002166C4">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Formalities referred to the ratification of the Pledges</w:t>
      </w:r>
      <w:r>
        <w:rPr>
          <w:noProof/>
        </w:rPr>
        <w:tab/>
      </w:r>
      <w:r>
        <w:rPr>
          <w:noProof/>
        </w:rPr>
        <w:fldChar w:fldCharType="begin"/>
      </w:r>
      <w:r>
        <w:rPr>
          <w:noProof/>
        </w:rPr>
        <w:instrText xml:space="preserve"> PAGEREF _Toc198658702 \h </w:instrText>
      </w:r>
      <w:r>
        <w:rPr>
          <w:noProof/>
        </w:rPr>
      </w:r>
      <w:r>
        <w:rPr>
          <w:noProof/>
        </w:rPr>
        <w:fldChar w:fldCharType="separate"/>
      </w:r>
      <w:r w:rsidR="00515A5E">
        <w:rPr>
          <w:noProof/>
        </w:rPr>
        <w:t>40</w:t>
      </w:r>
      <w:r>
        <w:rPr>
          <w:noProof/>
        </w:rPr>
        <w:fldChar w:fldCharType="end"/>
      </w:r>
    </w:p>
    <w:p w14:paraId="77888FEA" w14:textId="28F26B38" w:rsidR="002166C4" w:rsidRDefault="002166C4">
      <w:pPr>
        <w:pStyle w:val="TOC1"/>
        <w:rPr>
          <w:rFonts w:asciiTheme="minorHAnsi" w:eastAsiaTheme="minorEastAsia" w:hAnsiTheme="minorHAnsi" w:cstheme="minorBidi"/>
          <w:noProof/>
          <w:kern w:val="2"/>
          <w:sz w:val="24"/>
          <w:szCs w:val="24"/>
          <w:lang w:val="en-US"/>
          <w14:ligatures w14:val="standardContextual"/>
        </w:rPr>
      </w:pPr>
      <w:r w:rsidRPr="002166C4">
        <w:rPr>
          <w:rFonts w:eastAsia="Times New Roman"/>
          <w:noProof/>
          <w:lang w:val="en-US"/>
        </w:rPr>
        <w:t>6.</w:t>
      </w:r>
      <w:r>
        <w:rPr>
          <w:rFonts w:asciiTheme="minorHAnsi" w:eastAsiaTheme="minorEastAsia" w:hAnsiTheme="minorHAnsi" w:cstheme="minorBidi"/>
          <w:noProof/>
          <w:kern w:val="2"/>
          <w:sz w:val="24"/>
          <w:szCs w:val="24"/>
          <w:lang w:val="en-US"/>
          <w14:ligatures w14:val="standardContextual"/>
        </w:rPr>
        <w:tab/>
      </w:r>
      <w:r w:rsidRPr="002166C4">
        <w:rPr>
          <w:rFonts w:eastAsia="Times New Roman"/>
          <w:noProof/>
          <w:lang w:val="en-US"/>
        </w:rPr>
        <w:t>Taxes and expenses</w:t>
      </w:r>
      <w:r>
        <w:rPr>
          <w:noProof/>
        </w:rPr>
        <w:tab/>
      </w:r>
      <w:r>
        <w:rPr>
          <w:noProof/>
        </w:rPr>
        <w:fldChar w:fldCharType="begin"/>
      </w:r>
      <w:r>
        <w:rPr>
          <w:noProof/>
        </w:rPr>
        <w:instrText xml:space="preserve"> PAGEREF _Toc198658703 \h </w:instrText>
      </w:r>
      <w:r>
        <w:rPr>
          <w:noProof/>
        </w:rPr>
      </w:r>
      <w:r>
        <w:rPr>
          <w:noProof/>
        </w:rPr>
        <w:fldChar w:fldCharType="separate"/>
      </w:r>
      <w:r w:rsidR="00515A5E">
        <w:rPr>
          <w:noProof/>
        </w:rPr>
        <w:t>41</w:t>
      </w:r>
      <w:r>
        <w:rPr>
          <w:noProof/>
        </w:rPr>
        <w:fldChar w:fldCharType="end"/>
      </w:r>
    </w:p>
    <w:p w14:paraId="4D05F260" w14:textId="0B157F9D" w:rsidR="002166C4" w:rsidRDefault="002166C4">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Notices</w:t>
      </w:r>
      <w:r>
        <w:rPr>
          <w:noProof/>
        </w:rPr>
        <w:tab/>
      </w:r>
      <w:r>
        <w:rPr>
          <w:noProof/>
        </w:rPr>
        <w:fldChar w:fldCharType="begin"/>
      </w:r>
      <w:r>
        <w:rPr>
          <w:noProof/>
        </w:rPr>
        <w:instrText xml:space="preserve"> PAGEREF _Toc198658704 \h </w:instrText>
      </w:r>
      <w:r>
        <w:rPr>
          <w:noProof/>
        </w:rPr>
      </w:r>
      <w:r>
        <w:rPr>
          <w:noProof/>
        </w:rPr>
        <w:fldChar w:fldCharType="separate"/>
      </w:r>
      <w:r w:rsidR="00515A5E">
        <w:rPr>
          <w:noProof/>
        </w:rPr>
        <w:t>42</w:t>
      </w:r>
      <w:r>
        <w:rPr>
          <w:noProof/>
        </w:rPr>
        <w:fldChar w:fldCharType="end"/>
      </w:r>
    </w:p>
    <w:p w14:paraId="78303C24" w14:textId="2E469CB5" w:rsidR="002166C4" w:rsidRDefault="002166C4">
      <w:pPr>
        <w:pStyle w:val="TOC1"/>
        <w:rPr>
          <w:rFonts w:asciiTheme="minorHAnsi" w:eastAsiaTheme="minorEastAsia" w:hAnsiTheme="minorHAnsi" w:cstheme="minorBidi"/>
          <w:noProof/>
          <w:kern w:val="2"/>
          <w:sz w:val="24"/>
          <w:szCs w:val="24"/>
          <w:lang w:val="en-US"/>
          <w14:ligatures w14:val="standardContextual"/>
        </w:rPr>
      </w:pPr>
      <w:r w:rsidRPr="009633D3">
        <w:rPr>
          <w:rFonts w:eastAsia="Times New Roman"/>
          <w:noProof/>
        </w:rPr>
        <w:t>8.</w:t>
      </w:r>
      <w:r>
        <w:rPr>
          <w:rFonts w:asciiTheme="minorHAnsi" w:eastAsiaTheme="minorEastAsia" w:hAnsiTheme="minorHAnsi" w:cstheme="minorBidi"/>
          <w:noProof/>
          <w:kern w:val="2"/>
          <w:sz w:val="24"/>
          <w:szCs w:val="24"/>
          <w:lang w:val="en-US"/>
          <w14:ligatures w14:val="standardContextual"/>
        </w:rPr>
        <w:tab/>
      </w:r>
      <w:r w:rsidRPr="009633D3">
        <w:rPr>
          <w:rFonts w:eastAsia="Times New Roman"/>
          <w:noProof/>
        </w:rPr>
        <w:t>Rectification or supplement of this deed</w:t>
      </w:r>
      <w:r>
        <w:rPr>
          <w:noProof/>
        </w:rPr>
        <w:tab/>
      </w:r>
      <w:r>
        <w:rPr>
          <w:noProof/>
        </w:rPr>
        <w:fldChar w:fldCharType="begin"/>
      </w:r>
      <w:r>
        <w:rPr>
          <w:noProof/>
        </w:rPr>
        <w:instrText xml:space="preserve"> PAGEREF _Toc198658705 \h </w:instrText>
      </w:r>
      <w:r>
        <w:rPr>
          <w:noProof/>
        </w:rPr>
      </w:r>
      <w:r>
        <w:rPr>
          <w:noProof/>
        </w:rPr>
        <w:fldChar w:fldCharType="separate"/>
      </w:r>
      <w:r w:rsidR="00515A5E">
        <w:rPr>
          <w:noProof/>
        </w:rPr>
        <w:t>43</w:t>
      </w:r>
      <w:r>
        <w:rPr>
          <w:noProof/>
        </w:rPr>
        <w:fldChar w:fldCharType="end"/>
      </w:r>
    </w:p>
    <w:p w14:paraId="6D80272A" w14:textId="40F3D8A2" w:rsidR="002166C4" w:rsidRDefault="002166C4">
      <w:pPr>
        <w:pStyle w:val="TOC1"/>
        <w:rPr>
          <w:rFonts w:asciiTheme="minorHAnsi" w:eastAsiaTheme="minorEastAsia" w:hAnsiTheme="minorHAnsi" w:cstheme="minorBidi"/>
          <w:noProof/>
          <w:kern w:val="2"/>
          <w:sz w:val="24"/>
          <w:szCs w:val="24"/>
          <w:lang w:val="en-US"/>
          <w14:ligatures w14:val="standardContextual"/>
        </w:rPr>
      </w:pPr>
      <w:r w:rsidRPr="009633D3">
        <w:rPr>
          <w:rFonts w:eastAsia="Times New Roman"/>
          <w:noProof/>
        </w:rPr>
        <w:t>9.</w:t>
      </w:r>
      <w:r>
        <w:rPr>
          <w:rFonts w:asciiTheme="minorHAnsi" w:eastAsiaTheme="minorEastAsia" w:hAnsiTheme="minorHAnsi" w:cstheme="minorBidi"/>
          <w:noProof/>
          <w:kern w:val="2"/>
          <w:sz w:val="24"/>
          <w:szCs w:val="24"/>
          <w:lang w:val="en-US"/>
          <w14:ligatures w14:val="standardContextual"/>
        </w:rPr>
        <w:tab/>
      </w:r>
      <w:r w:rsidRPr="009633D3">
        <w:rPr>
          <w:rFonts w:eastAsia="Times New Roman"/>
          <w:noProof/>
        </w:rPr>
        <w:t>Language</w:t>
      </w:r>
      <w:r>
        <w:rPr>
          <w:noProof/>
        </w:rPr>
        <w:tab/>
      </w:r>
      <w:r>
        <w:rPr>
          <w:noProof/>
        </w:rPr>
        <w:fldChar w:fldCharType="begin"/>
      </w:r>
      <w:r>
        <w:rPr>
          <w:noProof/>
        </w:rPr>
        <w:instrText xml:space="preserve"> PAGEREF _Toc198658706 \h </w:instrText>
      </w:r>
      <w:r>
        <w:rPr>
          <w:noProof/>
        </w:rPr>
      </w:r>
      <w:r>
        <w:rPr>
          <w:noProof/>
        </w:rPr>
        <w:fldChar w:fldCharType="separate"/>
      </w:r>
      <w:r w:rsidR="00515A5E">
        <w:rPr>
          <w:noProof/>
        </w:rPr>
        <w:t>43</w:t>
      </w:r>
      <w:r>
        <w:rPr>
          <w:noProof/>
        </w:rPr>
        <w:fldChar w:fldCharType="end"/>
      </w:r>
    </w:p>
    <w:p w14:paraId="686B5A49" w14:textId="29A98075" w:rsidR="002166C4" w:rsidRDefault="002166C4">
      <w:pPr>
        <w:pStyle w:val="TOC1"/>
        <w:rPr>
          <w:rFonts w:asciiTheme="minorHAnsi" w:eastAsiaTheme="minorEastAsia" w:hAnsiTheme="minorHAnsi" w:cstheme="minorBidi"/>
          <w:noProof/>
          <w:kern w:val="2"/>
          <w:sz w:val="24"/>
          <w:szCs w:val="24"/>
          <w:lang w:val="en-US"/>
          <w14:ligatures w14:val="standardContextual"/>
        </w:rPr>
      </w:pPr>
      <w:r>
        <w:rPr>
          <w:noProof/>
        </w:rPr>
        <w:t>10.</w:t>
      </w:r>
      <w:r>
        <w:rPr>
          <w:rFonts w:asciiTheme="minorHAnsi" w:eastAsiaTheme="minorEastAsia" w:hAnsiTheme="minorHAnsi" w:cstheme="minorBidi"/>
          <w:noProof/>
          <w:kern w:val="2"/>
          <w:sz w:val="24"/>
          <w:szCs w:val="24"/>
          <w:lang w:val="en-US"/>
          <w14:ligatures w14:val="standardContextual"/>
        </w:rPr>
        <w:tab/>
      </w:r>
      <w:r>
        <w:rPr>
          <w:noProof/>
        </w:rPr>
        <w:t>Second Copies</w:t>
      </w:r>
      <w:r>
        <w:rPr>
          <w:noProof/>
        </w:rPr>
        <w:tab/>
      </w:r>
      <w:r>
        <w:rPr>
          <w:noProof/>
        </w:rPr>
        <w:fldChar w:fldCharType="begin"/>
      </w:r>
      <w:r>
        <w:rPr>
          <w:noProof/>
        </w:rPr>
        <w:instrText xml:space="preserve"> PAGEREF _Toc198658707 \h </w:instrText>
      </w:r>
      <w:r>
        <w:rPr>
          <w:noProof/>
        </w:rPr>
      </w:r>
      <w:r>
        <w:rPr>
          <w:noProof/>
        </w:rPr>
        <w:fldChar w:fldCharType="separate"/>
      </w:r>
      <w:r w:rsidR="00515A5E">
        <w:rPr>
          <w:noProof/>
        </w:rPr>
        <w:t>43</w:t>
      </w:r>
      <w:r>
        <w:rPr>
          <w:noProof/>
        </w:rPr>
        <w:fldChar w:fldCharType="end"/>
      </w:r>
    </w:p>
    <w:p w14:paraId="79738F3D" w14:textId="4C151764" w:rsidR="002166C4" w:rsidRDefault="002166C4">
      <w:pPr>
        <w:pStyle w:val="TOC1"/>
        <w:rPr>
          <w:rFonts w:asciiTheme="minorHAnsi" w:eastAsiaTheme="minorEastAsia" w:hAnsiTheme="minorHAnsi" w:cstheme="minorBidi"/>
          <w:noProof/>
          <w:kern w:val="2"/>
          <w:sz w:val="24"/>
          <w:szCs w:val="24"/>
          <w:lang w:val="en-US"/>
          <w14:ligatures w14:val="standardContextual"/>
        </w:rPr>
      </w:pPr>
      <w:r w:rsidRPr="002166C4">
        <w:rPr>
          <w:noProof/>
          <w:lang w:val="en-US"/>
        </w:rPr>
        <w:t>11.</w:t>
      </w:r>
      <w:r>
        <w:rPr>
          <w:rFonts w:asciiTheme="minorHAnsi" w:eastAsiaTheme="minorEastAsia" w:hAnsiTheme="minorHAnsi" w:cstheme="minorBidi"/>
          <w:noProof/>
          <w:kern w:val="2"/>
          <w:sz w:val="24"/>
          <w:szCs w:val="24"/>
          <w:lang w:val="en-US"/>
          <w14:ligatures w14:val="standardContextual"/>
        </w:rPr>
        <w:tab/>
      </w:r>
      <w:r w:rsidRPr="002166C4">
        <w:rPr>
          <w:noProof/>
          <w:lang w:val="en-US"/>
        </w:rPr>
        <w:t>Applicable Law and jurisdiction</w:t>
      </w:r>
      <w:r>
        <w:rPr>
          <w:noProof/>
        </w:rPr>
        <w:tab/>
      </w:r>
      <w:r>
        <w:rPr>
          <w:noProof/>
        </w:rPr>
        <w:fldChar w:fldCharType="begin"/>
      </w:r>
      <w:r>
        <w:rPr>
          <w:noProof/>
        </w:rPr>
        <w:instrText xml:space="preserve"> PAGEREF _Toc198658708 \h </w:instrText>
      </w:r>
      <w:r>
        <w:rPr>
          <w:noProof/>
        </w:rPr>
      </w:r>
      <w:r>
        <w:rPr>
          <w:noProof/>
        </w:rPr>
        <w:fldChar w:fldCharType="separate"/>
      </w:r>
      <w:r w:rsidR="00515A5E">
        <w:rPr>
          <w:noProof/>
        </w:rPr>
        <w:t>44</w:t>
      </w:r>
      <w:r>
        <w:rPr>
          <w:noProof/>
        </w:rPr>
        <w:fldChar w:fldCharType="end"/>
      </w:r>
    </w:p>
    <w:p w14:paraId="050C2B56" w14:textId="614B0680" w:rsidR="002166C4" w:rsidRPr="002166C4" w:rsidRDefault="002166C4" w:rsidP="00A4422A">
      <w:pPr>
        <w:pStyle w:val="AOTOCHeading"/>
        <w:widowControl w:val="0"/>
        <w:rPr>
          <w:lang w:val="en-US"/>
        </w:rPr>
      </w:pPr>
      <w:r>
        <w:fldChar w:fldCharType="end"/>
      </w:r>
    </w:p>
    <w:p w14:paraId="49462297" w14:textId="0F77E155" w:rsidR="00A4422A" w:rsidRPr="00347264" w:rsidRDefault="00A4422A" w:rsidP="00A4422A">
      <w:pPr>
        <w:pStyle w:val="AOTOCHeading"/>
        <w:widowControl w:val="0"/>
        <w:rPr>
          <w:b w:val="0"/>
        </w:rPr>
      </w:pPr>
      <w:r w:rsidRPr="007A720E">
        <w:t>Anexo</w:t>
      </w:r>
      <w:r w:rsidRPr="007A720E">
        <w:tab/>
        <w:t>Página</w:t>
      </w:r>
    </w:p>
    <w:p w14:paraId="1AB53948" w14:textId="0B4AA9A5" w:rsidR="002C0952" w:rsidRDefault="00A4422A">
      <w:pPr>
        <w:pStyle w:val="TOC8"/>
        <w:rPr>
          <w:rFonts w:asciiTheme="minorHAnsi" w:eastAsiaTheme="minorEastAsia" w:hAnsiTheme="minorHAnsi" w:cstheme="minorBidi"/>
          <w:noProof/>
          <w:kern w:val="2"/>
          <w:lang w:val="es-ES" w:eastAsia="es-ES"/>
          <w14:ligatures w14:val="standardContextual"/>
        </w:rPr>
      </w:pPr>
      <w:r>
        <w:fldChar w:fldCharType="begin"/>
      </w:r>
      <w:r w:rsidRPr="00C71BF4">
        <w:rPr>
          <w:lang w:val="es-ES"/>
        </w:rPr>
        <w:instrText xml:space="preserve"> TOC \t "AOAnxTitle;8;AOAnxPartTitle;9" \w \x \z |TOCTypeID:4| </w:instrText>
      </w:r>
      <w:r>
        <w:fldChar w:fldCharType="separate"/>
      </w:r>
      <w:r w:rsidR="002C0952">
        <w:rPr>
          <w:noProof/>
        </w:rPr>
        <w:t>Partes garantizadas</w:t>
      </w:r>
      <w:r w:rsidR="002C0952">
        <w:rPr>
          <w:noProof/>
          <w:webHidden/>
        </w:rPr>
        <w:tab/>
      </w:r>
      <w:r w:rsidR="002C0952">
        <w:rPr>
          <w:noProof/>
          <w:webHidden/>
        </w:rPr>
        <w:fldChar w:fldCharType="begin"/>
      </w:r>
      <w:r w:rsidR="002C0952">
        <w:rPr>
          <w:noProof/>
          <w:webHidden/>
        </w:rPr>
        <w:instrText xml:space="preserve"> PAGEREF _Toc164071535 \h </w:instrText>
      </w:r>
      <w:r w:rsidR="002C0952">
        <w:rPr>
          <w:noProof/>
          <w:webHidden/>
        </w:rPr>
      </w:r>
      <w:r w:rsidR="002C0952">
        <w:rPr>
          <w:noProof/>
          <w:webHidden/>
        </w:rPr>
        <w:fldChar w:fldCharType="separate"/>
      </w:r>
      <w:r w:rsidR="00515A5E">
        <w:rPr>
          <w:noProof/>
          <w:webHidden/>
        </w:rPr>
        <w:t>47</w:t>
      </w:r>
      <w:r w:rsidR="002C0952">
        <w:rPr>
          <w:noProof/>
          <w:webHidden/>
        </w:rPr>
        <w:fldChar w:fldCharType="end"/>
      </w:r>
    </w:p>
    <w:p w14:paraId="35634CC8" w14:textId="198661B3" w:rsidR="002C0952" w:rsidRDefault="002C0952">
      <w:pPr>
        <w:pStyle w:val="TOC8"/>
        <w:rPr>
          <w:rFonts w:asciiTheme="minorHAnsi" w:eastAsiaTheme="minorEastAsia" w:hAnsiTheme="minorHAnsi" w:cstheme="minorBidi"/>
          <w:noProof/>
          <w:kern w:val="2"/>
          <w:lang w:val="es-ES" w:eastAsia="es-ES"/>
          <w14:ligatures w14:val="standardContextual"/>
        </w:rPr>
      </w:pPr>
      <w:r w:rsidRPr="00F04C3E">
        <w:rPr>
          <w:noProof/>
          <w:lang w:val="es-ES"/>
        </w:rPr>
        <w:t>Copia de los títulos de propiedad con la novación, extensión y ratificación de la prenda sobre participaciones anotada</w:t>
      </w:r>
      <w:r w:rsidRPr="002C0952">
        <w:rPr>
          <w:noProof/>
          <w:webHidden/>
          <w:lang w:val="es-ES"/>
        </w:rPr>
        <w:tab/>
      </w:r>
      <w:r>
        <w:rPr>
          <w:noProof/>
          <w:webHidden/>
        </w:rPr>
        <w:fldChar w:fldCharType="begin"/>
      </w:r>
      <w:r w:rsidRPr="002C0952">
        <w:rPr>
          <w:noProof/>
          <w:webHidden/>
          <w:lang w:val="es-ES"/>
        </w:rPr>
        <w:instrText xml:space="preserve"> PAGEREF _Toc164071536 \h </w:instrText>
      </w:r>
      <w:r>
        <w:rPr>
          <w:noProof/>
          <w:webHidden/>
        </w:rPr>
      </w:r>
      <w:r>
        <w:rPr>
          <w:noProof/>
          <w:webHidden/>
        </w:rPr>
        <w:fldChar w:fldCharType="separate"/>
      </w:r>
      <w:r w:rsidR="00515A5E">
        <w:rPr>
          <w:noProof/>
          <w:webHidden/>
          <w:lang w:val="es-ES"/>
        </w:rPr>
        <w:t>52</w:t>
      </w:r>
      <w:r>
        <w:rPr>
          <w:noProof/>
          <w:webHidden/>
        </w:rPr>
        <w:fldChar w:fldCharType="end"/>
      </w:r>
    </w:p>
    <w:p w14:paraId="3D857564" w14:textId="7916D426" w:rsidR="002C0952" w:rsidRDefault="002C0952">
      <w:pPr>
        <w:pStyle w:val="TOC8"/>
        <w:rPr>
          <w:rFonts w:asciiTheme="minorHAnsi" w:eastAsiaTheme="minorEastAsia" w:hAnsiTheme="minorHAnsi" w:cstheme="minorBidi"/>
          <w:noProof/>
          <w:kern w:val="2"/>
          <w:lang w:val="es-ES" w:eastAsia="es-ES"/>
          <w14:ligatures w14:val="standardContextual"/>
        </w:rPr>
      </w:pPr>
      <w:r w:rsidRPr="00F04C3E">
        <w:rPr>
          <w:noProof/>
          <w:lang w:val="es-ES"/>
        </w:rPr>
        <w:t>Copia del certificado de persona con facultad certificante</w:t>
      </w:r>
      <w:r w:rsidRPr="002C0952">
        <w:rPr>
          <w:noProof/>
          <w:webHidden/>
          <w:lang w:val="es-ES"/>
        </w:rPr>
        <w:tab/>
      </w:r>
      <w:r>
        <w:rPr>
          <w:noProof/>
          <w:webHidden/>
        </w:rPr>
        <w:fldChar w:fldCharType="begin"/>
      </w:r>
      <w:r w:rsidRPr="002C0952">
        <w:rPr>
          <w:noProof/>
          <w:webHidden/>
          <w:lang w:val="es-ES"/>
        </w:rPr>
        <w:instrText xml:space="preserve"> PAGEREF _Toc164071537 \h </w:instrText>
      </w:r>
      <w:r>
        <w:rPr>
          <w:noProof/>
          <w:webHidden/>
        </w:rPr>
      </w:r>
      <w:r>
        <w:rPr>
          <w:noProof/>
          <w:webHidden/>
        </w:rPr>
        <w:fldChar w:fldCharType="separate"/>
      </w:r>
      <w:r w:rsidR="00515A5E">
        <w:rPr>
          <w:noProof/>
          <w:webHidden/>
          <w:lang w:val="es-ES"/>
        </w:rPr>
        <w:t>53</w:t>
      </w:r>
      <w:r>
        <w:rPr>
          <w:noProof/>
          <w:webHidden/>
        </w:rPr>
        <w:fldChar w:fldCharType="end"/>
      </w:r>
    </w:p>
    <w:p w14:paraId="43F543E9" w14:textId="4E7B1614" w:rsidR="002C0952" w:rsidRDefault="002C0952">
      <w:pPr>
        <w:pStyle w:val="TOC8"/>
        <w:rPr>
          <w:rFonts w:asciiTheme="minorHAnsi" w:eastAsiaTheme="minorEastAsia" w:hAnsiTheme="minorHAnsi" w:cstheme="minorBidi"/>
          <w:noProof/>
          <w:kern w:val="2"/>
          <w:lang w:val="es-ES" w:eastAsia="es-ES"/>
          <w14:ligatures w14:val="standardContextual"/>
        </w:rPr>
      </w:pPr>
      <w:r w:rsidRPr="00F04C3E">
        <w:rPr>
          <w:noProof/>
          <w:lang w:val="es-ES"/>
        </w:rPr>
        <w:t>Modelo de notificación al banco depositario</w:t>
      </w:r>
      <w:r w:rsidRPr="002C0952">
        <w:rPr>
          <w:noProof/>
          <w:webHidden/>
          <w:lang w:val="es-ES"/>
        </w:rPr>
        <w:tab/>
      </w:r>
      <w:r>
        <w:rPr>
          <w:noProof/>
          <w:webHidden/>
        </w:rPr>
        <w:fldChar w:fldCharType="begin"/>
      </w:r>
      <w:r w:rsidRPr="002C0952">
        <w:rPr>
          <w:noProof/>
          <w:webHidden/>
          <w:lang w:val="es-ES"/>
        </w:rPr>
        <w:instrText xml:space="preserve"> PAGEREF _Toc164071538 \h </w:instrText>
      </w:r>
      <w:r>
        <w:rPr>
          <w:noProof/>
          <w:webHidden/>
        </w:rPr>
      </w:r>
      <w:r>
        <w:rPr>
          <w:noProof/>
          <w:webHidden/>
        </w:rPr>
        <w:fldChar w:fldCharType="separate"/>
      </w:r>
      <w:r w:rsidR="00515A5E">
        <w:rPr>
          <w:noProof/>
          <w:webHidden/>
          <w:lang w:val="es-ES"/>
        </w:rPr>
        <w:t>54</w:t>
      </w:r>
      <w:r>
        <w:rPr>
          <w:noProof/>
          <w:webHidden/>
        </w:rPr>
        <w:fldChar w:fldCharType="end"/>
      </w:r>
    </w:p>
    <w:p w14:paraId="17E550F6" w14:textId="333B1F88" w:rsidR="00A4422A" w:rsidRPr="00F7119D" w:rsidRDefault="00A4422A" w:rsidP="00A4422A">
      <w:pPr>
        <w:widowControl w:val="0"/>
        <w:tabs>
          <w:tab w:val="right" w:pos="9639"/>
        </w:tabs>
        <w:spacing w:before="240" w:after="240" w:line="260" w:lineRule="atLeast"/>
        <w:jc w:val="both"/>
        <w:rPr>
          <w:b/>
        </w:rPr>
      </w:pPr>
      <w:r>
        <w:fldChar w:fldCharType="end"/>
      </w:r>
      <w:r w:rsidRPr="00F7119D">
        <w:rPr>
          <w:b/>
        </w:rPr>
        <w:t>Annex</w:t>
      </w:r>
      <w:r w:rsidRPr="007A720E">
        <w:tab/>
      </w:r>
      <w:r w:rsidRPr="00F7119D">
        <w:rPr>
          <w:b/>
        </w:rPr>
        <w:t>Page</w:t>
      </w:r>
    </w:p>
    <w:p w14:paraId="1C05368B" w14:textId="34749B41" w:rsidR="002C0952" w:rsidRDefault="00A4422A" w:rsidP="002C0952">
      <w:pPr>
        <w:pStyle w:val="TOC3"/>
        <w:rPr>
          <w:rFonts w:asciiTheme="minorHAnsi" w:eastAsiaTheme="minorEastAsia" w:hAnsiTheme="minorHAnsi" w:cstheme="minorBidi"/>
          <w:noProof/>
          <w:kern w:val="2"/>
          <w:lang w:val="es-ES" w:eastAsia="es-ES"/>
          <w14:ligatures w14:val="standardContextual"/>
        </w:rPr>
      </w:pPr>
      <w:r>
        <w:fldChar w:fldCharType="begin"/>
      </w:r>
      <w:r>
        <w:instrText xml:space="preserve"> TOC \t "AOLocation;3" \w \x \y |TOCTypeID:1| </w:instrText>
      </w:r>
      <w:r>
        <w:fldChar w:fldCharType="separate"/>
      </w:r>
      <w:r w:rsidR="002C0952">
        <w:rPr>
          <w:noProof/>
        </w:rPr>
        <w:t>Secured</w:t>
      </w:r>
      <w:r w:rsidR="002C0952" w:rsidRPr="00127422">
        <w:rPr>
          <w:rFonts w:eastAsia="Calibri"/>
          <w:noProof/>
        </w:rPr>
        <w:t xml:space="preserve"> parties</w:t>
      </w:r>
      <w:r w:rsidR="002C0952">
        <w:rPr>
          <w:noProof/>
        </w:rPr>
        <w:tab/>
      </w:r>
      <w:r w:rsidR="002C0952">
        <w:rPr>
          <w:noProof/>
        </w:rPr>
        <w:fldChar w:fldCharType="begin"/>
      </w:r>
      <w:r w:rsidR="002C0952">
        <w:rPr>
          <w:noProof/>
        </w:rPr>
        <w:instrText xml:space="preserve"> PAGEREF _Toc164071539 \h </w:instrText>
      </w:r>
      <w:r w:rsidR="002C0952">
        <w:rPr>
          <w:noProof/>
        </w:rPr>
      </w:r>
      <w:r w:rsidR="002C0952">
        <w:rPr>
          <w:noProof/>
        </w:rPr>
        <w:fldChar w:fldCharType="separate"/>
      </w:r>
      <w:r w:rsidR="00515A5E">
        <w:rPr>
          <w:noProof/>
        </w:rPr>
        <w:t>47</w:t>
      </w:r>
      <w:r w:rsidR="002C0952">
        <w:rPr>
          <w:noProof/>
        </w:rPr>
        <w:fldChar w:fldCharType="end"/>
      </w:r>
    </w:p>
    <w:p w14:paraId="0F0A44FF" w14:textId="361054F4" w:rsidR="002C0952" w:rsidRPr="002C0952" w:rsidRDefault="002C0952" w:rsidP="002C0952">
      <w:pPr>
        <w:pStyle w:val="TOC3"/>
        <w:rPr>
          <w:rFonts w:asciiTheme="minorHAnsi" w:eastAsiaTheme="minorEastAsia" w:hAnsiTheme="minorHAnsi" w:cstheme="minorBidi"/>
          <w:noProof/>
          <w:kern w:val="2"/>
          <w:lang w:eastAsia="es-ES"/>
          <w14:ligatures w14:val="standardContextual"/>
        </w:rPr>
      </w:pPr>
      <w:r>
        <w:rPr>
          <w:noProof/>
        </w:rPr>
        <w:t>Copy of the ownership titles with the amendment, extension and ratification of the pledge over Quota Shares included</w:t>
      </w:r>
      <w:r>
        <w:rPr>
          <w:noProof/>
        </w:rPr>
        <w:tab/>
      </w:r>
      <w:r>
        <w:rPr>
          <w:noProof/>
        </w:rPr>
        <w:fldChar w:fldCharType="begin"/>
      </w:r>
      <w:r>
        <w:rPr>
          <w:noProof/>
        </w:rPr>
        <w:instrText xml:space="preserve"> PAGEREF _Toc164071540 \h </w:instrText>
      </w:r>
      <w:r>
        <w:rPr>
          <w:noProof/>
        </w:rPr>
      </w:r>
      <w:r>
        <w:rPr>
          <w:noProof/>
        </w:rPr>
        <w:fldChar w:fldCharType="separate"/>
      </w:r>
      <w:r w:rsidR="00515A5E">
        <w:rPr>
          <w:noProof/>
        </w:rPr>
        <w:t>52</w:t>
      </w:r>
      <w:r>
        <w:rPr>
          <w:noProof/>
        </w:rPr>
        <w:fldChar w:fldCharType="end"/>
      </w:r>
    </w:p>
    <w:p w14:paraId="18059D97" w14:textId="7E03BD98" w:rsidR="002C0952" w:rsidRPr="002C0952" w:rsidRDefault="002C0952" w:rsidP="002C0952">
      <w:pPr>
        <w:pStyle w:val="TOC3"/>
        <w:rPr>
          <w:rFonts w:asciiTheme="minorHAnsi" w:eastAsiaTheme="minorEastAsia" w:hAnsiTheme="minorHAnsi" w:cstheme="minorBidi"/>
          <w:noProof/>
          <w:kern w:val="2"/>
          <w:lang w:eastAsia="es-ES"/>
          <w14:ligatures w14:val="standardContextual"/>
        </w:rPr>
      </w:pPr>
      <w:r>
        <w:rPr>
          <w:noProof/>
        </w:rPr>
        <w:t>Copy of the certificate issued by the person with the power to certify</w:t>
      </w:r>
      <w:r>
        <w:rPr>
          <w:noProof/>
        </w:rPr>
        <w:tab/>
      </w:r>
      <w:r>
        <w:rPr>
          <w:noProof/>
        </w:rPr>
        <w:fldChar w:fldCharType="begin"/>
      </w:r>
      <w:r>
        <w:rPr>
          <w:noProof/>
        </w:rPr>
        <w:instrText xml:space="preserve"> PAGEREF _Toc164071541 \h </w:instrText>
      </w:r>
      <w:r>
        <w:rPr>
          <w:noProof/>
        </w:rPr>
      </w:r>
      <w:r>
        <w:rPr>
          <w:noProof/>
        </w:rPr>
        <w:fldChar w:fldCharType="separate"/>
      </w:r>
      <w:r w:rsidR="00515A5E">
        <w:rPr>
          <w:noProof/>
        </w:rPr>
        <w:t>53</w:t>
      </w:r>
      <w:r>
        <w:rPr>
          <w:noProof/>
        </w:rPr>
        <w:fldChar w:fldCharType="end"/>
      </w:r>
    </w:p>
    <w:p w14:paraId="2A7B711D" w14:textId="7D2470B8" w:rsidR="002C0952" w:rsidRPr="002C0952" w:rsidRDefault="002C0952" w:rsidP="002C0952">
      <w:pPr>
        <w:pStyle w:val="TOC3"/>
        <w:rPr>
          <w:rFonts w:asciiTheme="minorHAnsi" w:eastAsiaTheme="minorEastAsia" w:hAnsiTheme="minorHAnsi" w:cstheme="minorBidi"/>
          <w:noProof/>
          <w:kern w:val="2"/>
          <w:lang w:eastAsia="es-ES"/>
          <w14:ligatures w14:val="standardContextual"/>
        </w:rPr>
      </w:pPr>
      <w:r>
        <w:rPr>
          <w:noProof/>
        </w:rPr>
        <w:t>Form of notice to the depositary bank</w:t>
      </w:r>
      <w:r>
        <w:rPr>
          <w:noProof/>
        </w:rPr>
        <w:tab/>
      </w:r>
      <w:r>
        <w:rPr>
          <w:noProof/>
        </w:rPr>
        <w:fldChar w:fldCharType="begin"/>
      </w:r>
      <w:r>
        <w:rPr>
          <w:noProof/>
        </w:rPr>
        <w:instrText xml:space="preserve"> PAGEREF _Toc164071542 \h </w:instrText>
      </w:r>
      <w:r>
        <w:rPr>
          <w:noProof/>
        </w:rPr>
      </w:r>
      <w:r>
        <w:rPr>
          <w:noProof/>
        </w:rPr>
        <w:fldChar w:fldCharType="separate"/>
      </w:r>
      <w:r w:rsidR="00515A5E">
        <w:rPr>
          <w:noProof/>
        </w:rPr>
        <w:t>54</w:t>
      </w:r>
      <w:r>
        <w:rPr>
          <w:noProof/>
        </w:rPr>
        <w:fldChar w:fldCharType="end"/>
      </w:r>
    </w:p>
    <w:p w14:paraId="3209165D" w14:textId="5CAF3568" w:rsidR="00A4422A" w:rsidRPr="00347264" w:rsidRDefault="00A4422A" w:rsidP="00A4422A">
      <w:pPr>
        <w:pStyle w:val="AODocTxt"/>
        <w:widowControl w:val="0"/>
      </w:pPr>
      <w:r>
        <w:fldChar w:fldCharType="end"/>
      </w:r>
    </w:p>
    <w:p w14:paraId="21ABAADB" w14:textId="77777777" w:rsidR="00A4422A" w:rsidRDefault="00A4422A" w:rsidP="00A4422A">
      <w:pPr>
        <w:widowControl w:val="0"/>
        <w:spacing w:before="240" w:line="260" w:lineRule="atLeast"/>
        <w:jc w:val="both"/>
        <w:sectPr w:rsidR="00A4422A" w:rsidSect="00B53048">
          <w:footerReference w:type="default" r:id="rId7"/>
          <w:headerReference w:type="first" r:id="rId8"/>
          <w:footerReference w:type="first" r:id="rId9"/>
          <w:pgSz w:w="11907" w:h="16839" w:code="9"/>
          <w:pgMar w:top="1588" w:right="1134" w:bottom="1021" w:left="1134" w:header="851" w:footer="454" w:gutter="0"/>
          <w:cols w:space="708"/>
          <w:titlePg/>
          <w:docGrid w:linePitch="360"/>
        </w:sectPr>
      </w:pPr>
    </w:p>
    <w:tbl>
      <w:tblPr>
        <w:tblW w:w="5000" w:type="pct"/>
        <w:jc w:val="center"/>
        <w:tblLayout w:type="fixed"/>
        <w:tblLook w:val="0000" w:firstRow="0" w:lastRow="0" w:firstColumn="0" w:lastColumn="0" w:noHBand="0" w:noVBand="0"/>
      </w:tblPr>
      <w:tblGrid>
        <w:gridCol w:w="4819"/>
        <w:gridCol w:w="4819"/>
      </w:tblGrid>
      <w:tr w:rsidR="00CD7F22" w14:paraId="48E4D3DD" w14:textId="77777777" w:rsidTr="00F47A3C">
        <w:trPr>
          <w:trHeight w:val="563"/>
          <w:jc w:val="center"/>
        </w:trPr>
        <w:tc>
          <w:tcPr>
            <w:tcW w:w="2500" w:type="pct"/>
          </w:tcPr>
          <w:p w14:paraId="51C64875" w14:textId="19582158" w:rsidR="00CD7F22" w:rsidRDefault="00CD7F22" w:rsidP="00CD7F22">
            <w:pPr>
              <w:pStyle w:val="AOTitle"/>
              <w:widowControl w:val="0"/>
              <w:outlineLvl w:val="0"/>
              <w:rPr>
                <w:lang w:val="es-ES"/>
              </w:rPr>
            </w:pPr>
            <w:bookmarkStart w:id="9" w:name="bmkOSAQCTable26746391"/>
            <w:bookmarkStart w:id="10" w:name="bmkOSAQCTable5425146"/>
            <w:bookmarkStart w:id="11" w:name="bmkOSAQCTable12707688"/>
            <w:bookmarkStart w:id="12" w:name="bmkOSAQCTable69227"/>
            <w:bookmarkStart w:id="13" w:name="bmkOSAQCTable38758958"/>
            <w:bookmarkStart w:id="14" w:name="bmkOSAQCTable45910260"/>
            <w:bookmarkEnd w:id="1"/>
            <w:bookmarkEnd w:id="2"/>
            <w:bookmarkEnd w:id="3"/>
            <w:r>
              <w:rPr>
                <w:lang w:val="es-ES"/>
              </w:rPr>
              <w:lastRenderedPageBreak/>
              <w:t xml:space="preserve">Póliza de NOVACIÓN, EXTENSIÓN y ratificación de prendaS, y novación de garantía a primer requerimiento </w:t>
            </w:r>
          </w:p>
        </w:tc>
        <w:tc>
          <w:tcPr>
            <w:tcW w:w="2500" w:type="pct"/>
          </w:tcPr>
          <w:p w14:paraId="3ED6937C" w14:textId="60844110" w:rsidR="00CD7F22" w:rsidRDefault="00CD7F22" w:rsidP="00CD7F22">
            <w:pPr>
              <w:pStyle w:val="AOTitle"/>
              <w:widowControl w:val="0"/>
              <w:outlineLvl w:val="0"/>
              <w:rPr>
                <w:lang w:val="en-US"/>
              </w:rPr>
            </w:pPr>
            <w:r>
              <w:t>deed of AMENDMENT, EXTENSION and ratification of pledgeS, and of amendment of first demand guarantee</w:t>
            </w:r>
          </w:p>
        </w:tc>
      </w:tr>
      <w:tr w:rsidR="00A4422A" w14:paraId="1ECB4B90" w14:textId="77777777" w:rsidTr="00F47A3C">
        <w:trPr>
          <w:trHeight w:val="269"/>
          <w:jc w:val="center"/>
        </w:trPr>
        <w:tc>
          <w:tcPr>
            <w:tcW w:w="2500" w:type="pct"/>
          </w:tcPr>
          <w:p w14:paraId="0DA09AA2" w14:textId="0A6A83A3" w:rsidR="00A4422A" w:rsidRPr="00792CF4" w:rsidRDefault="00A4422A" w:rsidP="009D6A43">
            <w:pPr>
              <w:pStyle w:val="AODocTxt"/>
              <w:widowControl w:val="0"/>
              <w:rPr>
                <w:rFonts w:eastAsia="Times New Roman"/>
                <w:lang w:val="es"/>
              </w:rPr>
            </w:pPr>
            <w:r w:rsidRPr="00792CF4">
              <w:rPr>
                <w:rFonts w:eastAsia="Times New Roman"/>
                <w:lang w:val="es"/>
              </w:rPr>
              <w:t xml:space="preserve">En </w:t>
            </w:r>
            <w:r w:rsidR="00415668">
              <w:rPr>
                <w:rFonts w:eastAsia="Times New Roman"/>
                <w:lang w:val="es"/>
              </w:rPr>
              <w:t>Barcelona</w:t>
            </w:r>
            <w:r w:rsidRPr="00792CF4">
              <w:rPr>
                <w:rFonts w:eastAsia="Times New Roman"/>
                <w:lang w:val="es"/>
              </w:rPr>
              <w:t xml:space="preserve">, a </w:t>
            </w:r>
            <w:r w:rsidR="00F821EE">
              <w:rPr>
                <w:lang w:val="es-ES"/>
              </w:rPr>
              <w:t>[</w:t>
            </w:r>
            <w:r w:rsidR="00F821EE">
              <w:rPr>
                <w:lang w:val="es-ES"/>
              </w:rPr>
              <w:sym w:font="Wingdings" w:char="F06C"/>
            </w:r>
            <w:r w:rsidR="00F821EE">
              <w:rPr>
                <w:lang w:val="es-ES"/>
              </w:rPr>
              <w:t xml:space="preserve">] </w:t>
            </w:r>
            <w:r w:rsidRPr="00792CF4">
              <w:rPr>
                <w:lang w:val="es"/>
              </w:rPr>
              <w:t>de</w:t>
            </w:r>
            <w:r w:rsidR="00210A06">
              <w:rPr>
                <w:lang w:val="es"/>
              </w:rPr>
              <w:t xml:space="preserve"> </w:t>
            </w:r>
            <w:r w:rsidR="00A87103">
              <w:rPr>
                <w:lang w:val="es-ES"/>
              </w:rPr>
              <w:t>[</w:t>
            </w:r>
            <w:r w:rsidR="00A87103">
              <w:rPr>
                <w:lang w:val="es-ES"/>
              </w:rPr>
              <w:sym w:font="Wingdings" w:char="F06C"/>
            </w:r>
            <w:r w:rsidR="00A87103">
              <w:rPr>
                <w:lang w:val="es-ES"/>
              </w:rPr>
              <w:t xml:space="preserve">] </w:t>
            </w:r>
            <w:r w:rsidR="000A4442">
              <w:rPr>
                <w:rFonts w:eastAsia="Times New Roman"/>
                <w:lang w:val="es"/>
              </w:rPr>
              <w:t>de 202</w:t>
            </w:r>
            <w:r w:rsidR="00F821EE">
              <w:rPr>
                <w:rFonts w:eastAsia="Times New Roman"/>
                <w:lang w:val="es"/>
              </w:rPr>
              <w:t>5</w:t>
            </w:r>
            <w:r w:rsidRPr="00792CF4">
              <w:rPr>
                <w:rFonts w:eastAsia="Times New Roman"/>
                <w:lang w:val="es"/>
              </w:rPr>
              <w:t>.</w:t>
            </w:r>
          </w:p>
        </w:tc>
        <w:tc>
          <w:tcPr>
            <w:tcW w:w="2500" w:type="pct"/>
          </w:tcPr>
          <w:p w14:paraId="6558E80E" w14:textId="3348C361" w:rsidR="00A4422A" w:rsidRPr="00792CF4" w:rsidRDefault="00A4422A" w:rsidP="009D6A43">
            <w:pPr>
              <w:pStyle w:val="AODocTxt"/>
              <w:widowControl w:val="0"/>
              <w:rPr>
                <w:rFonts w:eastAsia="Times New Roman"/>
                <w:lang w:val="es"/>
              </w:rPr>
            </w:pPr>
            <w:r w:rsidRPr="00792CF4">
              <w:rPr>
                <w:rFonts w:eastAsia="Times New Roman"/>
                <w:lang w:val="es"/>
              </w:rPr>
              <w:t xml:space="preserve">In </w:t>
            </w:r>
            <w:r w:rsidR="00415668">
              <w:rPr>
                <w:rFonts w:eastAsia="Times New Roman"/>
                <w:lang w:val="es"/>
              </w:rPr>
              <w:t>Barcelona</w:t>
            </w:r>
            <w:r w:rsidRPr="00792CF4">
              <w:rPr>
                <w:rFonts w:eastAsia="Times New Roman"/>
                <w:lang w:val="es"/>
              </w:rPr>
              <w:t xml:space="preserve">, on </w:t>
            </w:r>
            <w:r w:rsidR="00F821EE">
              <w:t>[</w:t>
            </w:r>
            <w:r w:rsidR="00F821EE">
              <w:sym w:font="Wingdings" w:char="F06C"/>
            </w:r>
            <w:r w:rsidR="00F821EE">
              <w:t>]</w:t>
            </w:r>
            <w:r w:rsidR="00A87103">
              <w:t xml:space="preserve"> </w:t>
            </w:r>
            <w:r w:rsidR="00A87103">
              <w:rPr>
                <w:lang w:val="es-ES"/>
              </w:rPr>
              <w:t>[</w:t>
            </w:r>
            <w:r w:rsidR="00A87103">
              <w:rPr>
                <w:lang w:val="es-ES"/>
              </w:rPr>
              <w:sym w:font="Wingdings" w:char="F06C"/>
            </w:r>
            <w:r w:rsidR="00A87103">
              <w:rPr>
                <w:lang w:val="es-ES"/>
              </w:rPr>
              <w:t>]</w:t>
            </w:r>
            <w:r w:rsidR="00A87103">
              <w:t xml:space="preserve"> </w:t>
            </w:r>
            <w:r w:rsidR="000A4442">
              <w:rPr>
                <w:rFonts w:eastAsia="Times New Roman"/>
                <w:lang w:val="es"/>
              </w:rPr>
              <w:t>202</w:t>
            </w:r>
            <w:r w:rsidR="00F821EE">
              <w:rPr>
                <w:rFonts w:eastAsia="Times New Roman"/>
                <w:lang w:val="es"/>
              </w:rPr>
              <w:t>5</w:t>
            </w:r>
            <w:r w:rsidRPr="00792CF4">
              <w:rPr>
                <w:rFonts w:eastAsia="Times New Roman"/>
                <w:lang w:val="es"/>
              </w:rPr>
              <w:t>.</w:t>
            </w:r>
          </w:p>
        </w:tc>
      </w:tr>
      <w:tr w:rsidR="00A4422A" w:rsidRPr="00770A4C" w14:paraId="3FB31752" w14:textId="77777777" w:rsidTr="00F47A3C">
        <w:trPr>
          <w:trHeight w:val="83"/>
          <w:jc w:val="center"/>
        </w:trPr>
        <w:tc>
          <w:tcPr>
            <w:tcW w:w="2500" w:type="pct"/>
          </w:tcPr>
          <w:p w14:paraId="781E8B0E" w14:textId="08D270F2" w:rsidR="00A4422A" w:rsidRPr="00770A4C" w:rsidRDefault="002B0498" w:rsidP="00770A4C">
            <w:pPr>
              <w:pStyle w:val="AODocTxt"/>
              <w:widowControl w:val="0"/>
              <w:rPr>
                <w:b/>
                <w:lang w:val="es-ES"/>
              </w:rPr>
            </w:pPr>
            <w:r w:rsidRPr="002B0498">
              <w:rPr>
                <w:lang w:val="es-ES"/>
              </w:rPr>
              <w:t xml:space="preserve">Ante mí, </w:t>
            </w:r>
            <w:r w:rsidR="00770A4C">
              <w:rPr>
                <w:lang w:val="es-ES"/>
              </w:rPr>
              <w:t>Dña.</w:t>
            </w:r>
            <w:r w:rsidR="00415668">
              <w:rPr>
                <w:lang w:val="es-ES"/>
              </w:rPr>
              <w:t xml:space="preserve"> Blanca Pardo García, </w:t>
            </w:r>
            <w:r w:rsidR="00A4422A" w:rsidRPr="002B0498">
              <w:rPr>
                <w:lang w:val="es-ES"/>
              </w:rPr>
              <w:t xml:space="preserve">Notario de </w:t>
            </w:r>
            <w:r w:rsidR="00415668">
              <w:rPr>
                <w:lang w:val="es-ES"/>
              </w:rPr>
              <w:t xml:space="preserve">Barcelona </w:t>
            </w:r>
            <w:r w:rsidR="00A4422A" w:rsidRPr="002B0498">
              <w:rPr>
                <w:lang w:val="es-ES"/>
              </w:rPr>
              <w:t>y su ilustre Colegio Notarial.</w:t>
            </w:r>
            <w:r w:rsidR="000A4442">
              <w:rPr>
                <w:lang w:val="es-ES"/>
              </w:rPr>
              <w:t xml:space="preserve"> </w:t>
            </w:r>
          </w:p>
        </w:tc>
        <w:tc>
          <w:tcPr>
            <w:tcW w:w="2500" w:type="pct"/>
          </w:tcPr>
          <w:p w14:paraId="46C99DAF" w14:textId="1D92D54F" w:rsidR="00A4422A" w:rsidRPr="005B3BDF" w:rsidRDefault="00A4422A" w:rsidP="00770A4C">
            <w:pPr>
              <w:pStyle w:val="AODocTxt"/>
              <w:widowControl w:val="0"/>
            </w:pPr>
            <w:r w:rsidRPr="00770A4C">
              <w:t xml:space="preserve">Before me, </w:t>
            </w:r>
            <w:r w:rsidR="00415668">
              <w:t xml:space="preserve">Ms. </w:t>
            </w:r>
            <w:r w:rsidR="00415668" w:rsidRPr="005B3BDF">
              <w:rPr>
                <w:lang w:val="en-US"/>
              </w:rPr>
              <w:t>Blanca Pardo García</w:t>
            </w:r>
            <w:r w:rsidR="00415668">
              <w:rPr>
                <w:lang w:val="en-US"/>
              </w:rPr>
              <w:t>,</w:t>
            </w:r>
            <w:r w:rsidR="00415668" w:rsidRPr="00770A4C" w:rsidDel="00415668">
              <w:t xml:space="preserve"> </w:t>
            </w:r>
            <w:r w:rsidRPr="00770A4C">
              <w:t xml:space="preserve">Notary of </w:t>
            </w:r>
            <w:r w:rsidR="00415668">
              <w:t>Barcelona</w:t>
            </w:r>
            <w:r w:rsidR="00415668" w:rsidRPr="00770A4C">
              <w:t xml:space="preserve"> </w:t>
            </w:r>
            <w:r w:rsidRPr="00770A4C">
              <w:t>and its Notarial Bar.</w:t>
            </w:r>
            <w:r w:rsidR="000A4442" w:rsidRPr="00770A4C">
              <w:t xml:space="preserve"> </w:t>
            </w:r>
          </w:p>
        </w:tc>
      </w:tr>
      <w:tr w:rsidR="00A4422A" w:rsidRPr="002B0498" w14:paraId="05F84BE3" w14:textId="77777777" w:rsidTr="00F47A3C">
        <w:trPr>
          <w:trHeight w:val="83"/>
          <w:jc w:val="center"/>
        </w:trPr>
        <w:tc>
          <w:tcPr>
            <w:tcW w:w="2500" w:type="pct"/>
          </w:tcPr>
          <w:p w14:paraId="549268F9" w14:textId="77777777" w:rsidR="00A4422A" w:rsidRPr="00770A4C" w:rsidRDefault="00A4422A" w:rsidP="00B53048">
            <w:pPr>
              <w:pStyle w:val="AOTitle"/>
              <w:widowControl w:val="0"/>
              <w:rPr>
                <w:rFonts w:eastAsia="Times New Roman"/>
                <w:lang w:val="es-ES"/>
              </w:rPr>
            </w:pPr>
            <w:r w:rsidRPr="00770A4C">
              <w:rPr>
                <w:lang w:val="es-ES"/>
              </w:rPr>
              <w:t>reunidos</w:t>
            </w:r>
          </w:p>
        </w:tc>
        <w:tc>
          <w:tcPr>
            <w:tcW w:w="2500" w:type="pct"/>
          </w:tcPr>
          <w:p w14:paraId="0FD1FD8A" w14:textId="77777777" w:rsidR="00A4422A" w:rsidRPr="002B0498" w:rsidRDefault="00A4422A" w:rsidP="00B53048">
            <w:pPr>
              <w:pStyle w:val="AOTitle"/>
              <w:widowControl w:val="0"/>
              <w:rPr>
                <w:rFonts w:eastAsia="Times New Roman"/>
              </w:rPr>
            </w:pPr>
            <w:r w:rsidRPr="00770A4C">
              <w:rPr>
                <w:rFonts w:eastAsia="Times New Roman"/>
                <w:lang w:val="es-ES"/>
              </w:rPr>
              <w:t>t</w:t>
            </w:r>
            <w:r w:rsidRPr="002B0498">
              <w:rPr>
                <w:rFonts w:eastAsia="Times New Roman"/>
              </w:rPr>
              <w:t>he parties</w:t>
            </w:r>
          </w:p>
        </w:tc>
      </w:tr>
      <w:tr w:rsidR="00A4422A" w:rsidRPr="002B0498" w14:paraId="74F5E41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183F226" w14:textId="77777777" w:rsidR="00A4422A" w:rsidRPr="002B0498" w:rsidRDefault="00A4422A" w:rsidP="00B53048">
            <w:pPr>
              <w:pStyle w:val="AODocTxt"/>
              <w:rPr>
                <w:b/>
              </w:rPr>
            </w:pPr>
            <w:r w:rsidRPr="002B0498">
              <w:rPr>
                <w:b/>
              </w:rPr>
              <w:t xml:space="preserve">De </w:t>
            </w:r>
            <w:proofErr w:type="spellStart"/>
            <w:r w:rsidRPr="002B0498">
              <w:rPr>
                <w:b/>
              </w:rPr>
              <w:t>una</w:t>
            </w:r>
            <w:proofErr w:type="spellEnd"/>
            <w:r w:rsidRPr="002B0498">
              <w:rPr>
                <w:b/>
              </w:rPr>
              <w:t xml:space="preserve"> </w:t>
            </w:r>
            <w:proofErr w:type="spellStart"/>
            <w:r w:rsidRPr="002B0498">
              <w:rPr>
                <w:b/>
              </w:rPr>
              <w:t>parte</w:t>
            </w:r>
            <w:proofErr w:type="spellEnd"/>
            <w:r w:rsidRPr="002B0498">
              <w:rPr>
                <w:b/>
              </w:rPr>
              <w:t xml:space="preserve">, </w:t>
            </w:r>
          </w:p>
        </w:tc>
        <w:tc>
          <w:tcPr>
            <w:tcW w:w="2500" w:type="pct"/>
            <w:shd w:val="clear" w:color="auto" w:fill="auto"/>
          </w:tcPr>
          <w:p w14:paraId="5DED557F" w14:textId="77777777" w:rsidR="00A4422A" w:rsidRPr="002B0498" w:rsidRDefault="00A4422A" w:rsidP="00B53048">
            <w:pPr>
              <w:pStyle w:val="AODocTxt"/>
              <w:rPr>
                <w:b/>
              </w:rPr>
            </w:pPr>
            <w:r w:rsidRPr="002B0498">
              <w:rPr>
                <w:b/>
              </w:rPr>
              <w:t xml:space="preserve">On one hand, </w:t>
            </w:r>
          </w:p>
        </w:tc>
      </w:tr>
      <w:tr w:rsidR="000311FB" w:rsidRPr="00903DBF" w14:paraId="3D1DD41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83C4955" w14:textId="0E31E73B" w:rsidR="000311FB" w:rsidRPr="005465BE" w:rsidRDefault="000311FB" w:rsidP="00195BC9">
            <w:pPr>
              <w:pStyle w:val="AO1"/>
              <w:rPr>
                <w:lang w:val="es-ES"/>
              </w:rPr>
            </w:pPr>
            <w:bookmarkStart w:id="15" w:name="_Ref99449036"/>
            <w:r w:rsidRPr="004D524F">
              <w:rPr>
                <w:b/>
                <w:lang w:val="es-ES"/>
              </w:rPr>
              <w:t>BEACON RAIL FINA</w:t>
            </w:r>
            <w:r w:rsidRPr="00FC0066">
              <w:rPr>
                <w:b/>
                <w:lang w:val="es-ES"/>
              </w:rPr>
              <w:t>NCE S.À R.L.</w:t>
            </w:r>
            <w:r w:rsidRPr="00E53971">
              <w:rPr>
                <w:lang w:val="es-ES"/>
              </w:rPr>
              <w:t xml:space="preserve"> </w:t>
            </w:r>
            <w:r w:rsidRPr="00F0365A">
              <w:rPr>
                <w:lang w:val="es-ES"/>
              </w:rPr>
              <w:t>sociedad privada (</w:t>
            </w:r>
            <w:proofErr w:type="spellStart"/>
            <w:r w:rsidRPr="00F0365A">
              <w:rPr>
                <w:i/>
                <w:iCs/>
                <w:lang w:val="es-ES"/>
              </w:rPr>
              <w:t>société</w:t>
            </w:r>
            <w:proofErr w:type="spellEnd"/>
            <w:r w:rsidRPr="00F0365A">
              <w:rPr>
                <w:i/>
                <w:iCs/>
                <w:lang w:val="es-ES"/>
              </w:rPr>
              <w:t xml:space="preserve"> à </w:t>
            </w:r>
            <w:proofErr w:type="spellStart"/>
            <w:r w:rsidRPr="00F0365A">
              <w:rPr>
                <w:i/>
                <w:iCs/>
                <w:lang w:val="es-ES"/>
              </w:rPr>
              <w:t>responsabilité</w:t>
            </w:r>
            <w:proofErr w:type="spellEnd"/>
            <w:r w:rsidRPr="00F0365A">
              <w:rPr>
                <w:i/>
                <w:iCs/>
                <w:lang w:val="es-ES"/>
              </w:rPr>
              <w:t xml:space="preserve"> </w:t>
            </w:r>
            <w:proofErr w:type="spellStart"/>
            <w:r w:rsidRPr="00F0365A">
              <w:rPr>
                <w:i/>
                <w:iCs/>
                <w:lang w:val="es-ES"/>
              </w:rPr>
              <w:t>limitée</w:t>
            </w:r>
            <w:proofErr w:type="spellEnd"/>
            <w:r w:rsidRPr="00F0365A">
              <w:rPr>
                <w:lang w:val="es-ES"/>
              </w:rPr>
              <w:t>) debidamente constituida y existente de conformidad con las leyes vigentes en Luxemburgo, con domicilio social en 20, rue Eugène Ruppert, L-2453, Luxemburgo, e inscrita en el Registro Mercantil de Luxemburgo (</w:t>
            </w:r>
            <w:proofErr w:type="gramStart"/>
            <w:r w:rsidRPr="00F0365A">
              <w:rPr>
                <w:i/>
                <w:iCs/>
                <w:lang w:val="es-ES"/>
              </w:rPr>
              <w:t>Registre</w:t>
            </w:r>
            <w:proofErr w:type="gramEnd"/>
            <w:r w:rsidRPr="00F0365A">
              <w:rPr>
                <w:i/>
                <w:iCs/>
                <w:lang w:val="es-ES"/>
              </w:rPr>
              <w:t xml:space="preserve"> de Commerce et des </w:t>
            </w:r>
            <w:proofErr w:type="spellStart"/>
            <w:r w:rsidRPr="00F0365A">
              <w:rPr>
                <w:i/>
                <w:iCs/>
                <w:lang w:val="es-ES"/>
              </w:rPr>
              <w:t>Sociétés</w:t>
            </w:r>
            <w:proofErr w:type="spellEnd"/>
            <w:r w:rsidRPr="00F0365A">
              <w:rPr>
                <w:lang w:val="es-ES"/>
              </w:rPr>
              <w:t xml:space="preserve">) bajo el número B119934 </w:t>
            </w:r>
            <w:r w:rsidRPr="00E53971">
              <w:rPr>
                <w:lang w:val="es-ES"/>
              </w:rPr>
              <w:t>(en adelante</w:t>
            </w:r>
            <w:r>
              <w:rPr>
                <w:lang w:val="es-ES"/>
              </w:rPr>
              <w:t>,</w:t>
            </w:r>
            <w:r w:rsidRPr="00E53971">
              <w:rPr>
                <w:lang w:val="es-ES"/>
              </w:rPr>
              <w:t xml:space="preserve"> </w:t>
            </w:r>
            <w:r w:rsidRPr="00FC0066">
              <w:rPr>
                <w:b/>
                <w:lang w:val="es-ES"/>
              </w:rPr>
              <w:t>Beacon</w:t>
            </w:r>
            <w:r w:rsidRPr="00E53971">
              <w:rPr>
                <w:lang w:val="es-ES"/>
              </w:rPr>
              <w:t>).</w:t>
            </w:r>
            <w:bookmarkEnd w:id="15"/>
            <w:r w:rsidRPr="00E53971">
              <w:rPr>
                <w:lang w:val="es-ES"/>
              </w:rPr>
              <w:t xml:space="preserve"> </w:t>
            </w:r>
          </w:p>
        </w:tc>
        <w:tc>
          <w:tcPr>
            <w:tcW w:w="2500" w:type="pct"/>
            <w:shd w:val="clear" w:color="auto" w:fill="auto"/>
          </w:tcPr>
          <w:p w14:paraId="5BD608D6" w14:textId="1F0A9988" w:rsidR="000311FB" w:rsidRPr="00474F22" w:rsidRDefault="000311FB" w:rsidP="000B7B1A">
            <w:pPr>
              <w:pStyle w:val="AO10"/>
            </w:pPr>
            <w:bookmarkStart w:id="16" w:name="_Ref99449048"/>
            <w:r w:rsidRPr="00474F22">
              <w:t xml:space="preserve">BEACON RAIL FINANCE S.À R.L. </w:t>
            </w:r>
            <w:r w:rsidRPr="000B7B1A">
              <w:rPr>
                <w:b w:val="0"/>
                <w:bCs/>
              </w:rPr>
              <w:t>a private limited liability company (</w:t>
            </w:r>
            <w:r w:rsidRPr="000B7B1A">
              <w:rPr>
                <w:b w:val="0"/>
                <w:bCs/>
                <w:i/>
                <w:iCs/>
              </w:rPr>
              <w:t xml:space="preserve">société à </w:t>
            </w:r>
            <w:proofErr w:type="spellStart"/>
            <w:r w:rsidRPr="000B7B1A">
              <w:rPr>
                <w:b w:val="0"/>
                <w:bCs/>
                <w:i/>
                <w:iCs/>
              </w:rPr>
              <w:t>responsabilité</w:t>
            </w:r>
            <w:proofErr w:type="spellEnd"/>
            <w:r w:rsidRPr="000B7B1A">
              <w:rPr>
                <w:b w:val="0"/>
                <w:bCs/>
                <w:i/>
                <w:iCs/>
              </w:rPr>
              <w:t xml:space="preserve"> </w:t>
            </w:r>
            <w:proofErr w:type="spellStart"/>
            <w:r w:rsidRPr="000B7B1A">
              <w:rPr>
                <w:b w:val="0"/>
                <w:bCs/>
                <w:i/>
                <w:iCs/>
              </w:rPr>
              <w:t>limitée</w:t>
            </w:r>
            <w:proofErr w:type="spellEnd"/>
            <w:r w:rsidRPr="000B7B1A">
              <w:rPr>
                <w:b w:val="0"/>
                <w:bCs/>
              </w:rPr>
              <w:t>) incorporated under the laws of the Grand Duchy of Luxembourg, with its registered office at 20 rue Eugène Ruppert, L-2453 Luxembourg, registered with the Luxembourg trade and companies register (</w:t>
            </w:r>
            <w:r w:rsidRPr="000B7B1A">
              <w:rPr>
                <w:b w:val="0"/>
                <w:bCs/>
                <w:i/>
                <w:iCs/>
              </w:rPr>
              <w:t>Registre de Commerce et des Sociétés</w:t>
            </w:r>
            <w:r w:rsidRPr="000B7B1A">
              <w:rPr>
                <w:b w:val="0"/>
                <w:bCs/>
              </w:rPr>
              <w:t xml:space="preserve">) under number B119934 (hereinafter, </w:t>
            </w:r>
            <w:r w:rsidRPr="000B7B1A">
              <w:t>Beacon</w:t>
            </w:r>
            <w:r w:rsidRPr="000B7B1A">
              <w:rPr>
                <w:b w:val="0"/>
                <w:bCs/>
              </w:rPr>
              <w:t>).</w:t>
            </w:r>
            <w:bookmarkEnd w:id="16"/>
          </w:p>
        </w:tc>
      </w:tr>
      <w:tr w:rsidR="00236E5A" w:rsidRPr="006B2A14" w14:paraId="4BF3F6E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C5EEBE5" w14:textId="6B300391" w:rsidR="00236E5A" w:rsidRPr="00220C9C" w:rsidRDefault="00236E5A" w:rsidP="00137772">
            <w:pPr>
              <w:pStyle w:val="AO1"/>
              <w:rPr>
                <w:lang w:val="es-ES"/>
              </w:rPr>
            </w:pPr>
            <w:bookmarkStart w:id="17" w:name="_Ref99449041"/>
            <w:r w:rsidRPr="00220C9C">
              <w:rPr>
                <w:b/>
                <w:lang w:val="es-ES"/>
              </w:rPr>
              <w:t>BEACON RAIL FINANCE IBERIA, S.L.U.</w:t>
            </w:r>
            <w:r w:rsidRPr="00220C9C">
              <w:rPr>
                <w:lang w:val="es-ES"/>
              </w:rPr>
              <w:t xml:space="preserve"> (en adelante</w:t>
            </w:r>
            <w:r w:rsidR="00131437">
              <w:rPr>
                <w:lang w:val="es-ES"/>
              </w:rPr>
              <w:t>,</w:t>
            </w:r>
            <w:r w:rsidRPr="00220C9C">
              <w:rPr>
                <w:lang w:val="es-ES"/>
              </w:rPr>
              <w:t xml:space="preserve"> </w:t>
            </w:r>
            <w:r w:rsidRPr="00FC0066">
              <w:rPr>
                <w:b/>
                <w:lang w:val="es-ES"/>
              </w:rPr>
              <w:t>Beacon</w:t>
            </w:r>
            <w:r>
              <w:rPr>
                <w:b/>
                <w:lang w:val="es-ES"/>
              </w:rPr>
              <w:t xml:space="preserve"> Iberia</w:t>
            </w:r>
            <w:r w:rsidRPr="00220C9C">
              <w:rPr>
                <w:lang w:val="es-ES"/>
              </w:rPr>
              <w:t>).</w:t>
            </w:r>
            <w:bookmarkEnd w:id="17"/>
          </w:p>
        </w:tc>
        <w:tc>
          <w:tcPr>
            <w:tcW w:w="2500" w:type="pct"/>
            <w:shd w:val="clear" w:color="auto" w:fill="auto"/>
          </w:tcPr>
          <w:p w14:paraId="208C9319" w14:textId="003683CC" w:rsidR="00236E5A" w:rsidRPr="00453844" w:rsidRDefault="00236E5A" w:rsidP="007E2625">
            <w:pPr>
              <w:pStyle w:val="AODocTxt"/>
              <w:numPr>
                <w:ilvl w:val="0"/>
                <w:numId w:val="33"/>
              </w:numPr>
              <w:ind w:hanging="720"/>
              <w:rPr>
                <w:lang w:val="es-ES"/>
              </w:rPr>
            </w:pPr>
            <w:bookmarkStart w:id="18" w:name="_Ref99449056"/>
            <w:r w:rsidRPr="00453844">
              <w:rPr>
                <w:b/>
                <w:lang w:val="es-ES"/>
              </w:rPr>
              <w:t>BEACON RAIL FINANCE IBERIA, S.L.U.</w:t>
            </w:r>
            <w:r w:rsidRPr="00453844">
              <w:rPr>
                <w:lang w:val="es-ES"/>
              </w:rPr>
              <w:t xml:space="preserve"> (</w:t>
            </w:r>
            <w:proofErr w:type="spellStart"/>
            <w:r w:rsidRPr="00453844">
              <w:rPr>
                <w:lang w:val="es-ES"/>
              </w:rPr>
              <w:t>hereinafter</w:t>
            </w:r>
            <w:proofErr w:type="spellEnd"/>
            <w:r w:rsidRPr="00453844">
              <w:rPr>
                <w:lang w:val="es-ES"/>
              </w:rPr>
              <w:t xml:space="preserve">, </w:t>
            </w:r>
            <w:r w:rsidRPr="00453844">
              <w:rPr>
                <w:b/>
                <w:lang w:val="es-ES"/>
              </w:rPr>
              <w:t>Beacon Iberia</w:t>
            </w:r>
            <w:r w:rsidRPr="00453844">
              <w:rPr>
                <w:lang w:val="es-ES"/>
              </w:rPr>
              <w:t>).</w:t>
            </w:r>
            <w:bookmarkEnd w:id="18"/>
          </w:p>
        </w:tc>
      </w:tr>
      <w:tr w:rsidR="00236E5A" w:rsidRPr="00903DBF" w14:paraId="65A002E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954E1EC" w14:textId="0D40BC80" w:rsidR="00236E5A" w:rsidRPr="00E53971" w:rsidRDefault="00236E5A" w:rsidP="000472AF">
            <w:pPr>
              <w:pStyle w:val="AODocTxt"/>
              <w:rPr>
                <w:lang w:val="es-ES"/>
              </w:rPr>
            </w:pPr>
            <w:r>
              <w:rPr>
                <w:lang w:val="es-ES"/>
              </w:rPr>
              <w:t xml:space="preserve">Las entidades enumeradas en los apartados </w:t>
            </w:r>
            <w:r>
              <w:rPr>
                <w:lang w:val="es-ES"/>
              </w:rPr>
              <w:fldChar w:fldCharType="begin"/>
            </w:r>
            <w:r>
              <w:rPr>
                <w:lang w:val="es-ES"/>
              </w:rPr>
              <w:instrText xml:space="preserve"> REF _Ref99449036 \r \h </w:instrText>
            </w:r>
            <w:r>
              <w:rPr>
                <w:lang w:val="es-ES"/>
              </w:rPr>
            </w:r>
            <w:r>
              <w:rPr>
                <w:lang w:val="es-ES"/>
              </w:rPr>
              <w:fldChar w:fldCharType="separate"/>
            </w:r>
            <w:r w:rsidR="00515A5E">
              <w:rPr>
                <w:lang w:val="es-ES"/>
              </w:rPr>
              <w:t>(1)</w:t>
            </w:r>
            <w:r>
              <w:rPr>
                <w:lang w:val="es-ES"/>
              </w:rPr>
              <w:fldChar w:fldCharType="end"/>
            </w:r>
            <w:r>
              <w:rPr>
                <w:lang w:val="es-ES"/>
              </w:rPr>
              <w:t xml:space="preserve"> a </w:t>
            </w:r>
            <w:r>
              <w:rPr>
                <w:lang w:val="es-ES"/>
              </w:rPr>
              <w:fldChar w:fldCharType="begin"/>
            </w:r>
            <w:r>
              <w:rPr>
                <w:lang w:val="es-ES"/>
              </w:rPr>
              <w:instrText xml:space="preserve"> REF _Ref99449041 \r \h </w:instrText>
            </w:r>
            <w:r>
              <w:rPr>
                <w:lang w:val="es-ES"/>
              </w:rPr>
            </w:r>
            <w:r>
              <w:rPr>
                <w:lang w:val="es-ES"/>
              </w:rPr>
              <w:fldChar w:fldCharType="separate"/>
            </w:r>
            <w:r w:rsidR="00515A5E">
              <w:rPr>
                <w:lang w:val="es-ES"/>
              </w:rPr>
              <w:t>(2)</w:t>
            </w:r>
            <w:r>
              <w:rPr>
                <w:lang w:val="es-ES"/>
              </w:rPr>
              <w:fldChar w:fldCharType="end"/>
            </w:r>
            <w:r>
              <w:rPr>
                <w:lang w:val="es-ES"/>
              </w:rPr>
              <w:t xml:space="preserve"> anteriores (ambas inclusive)</w:t>
            </w:r>
            <w:r w:rsidRPr="00E53971">
              <w:rPr>
                <w:lang w:val="es-ES"/>
              </w:rPr>
              <w:t xml:space="preserve">, serán referidas conjuntamente como </w:t>
            </w:r>
            <w:r>
              <w:rPr>
                <w:lang w:val="es-ES"/>
              </w:rPr>
              <w:t xml:space="preserve">los </w:t>
            </w:r>
            <w:proofErr w:type="spellStart"/>
            <w:r w:rsidRPr="00236E5A">
              <w:rPr>
                <w:b/>
                <w:lang w:val="es-ES"/>
              </w:rPr>
              <w:t>Pignorantes</w:t>
            </w:r>
            <w:proofErr w:type="spellEnd"/>
            <w:r w:rsidRPr="00E53971">
              <w:rPr>
                <w:lang w:val="es-ES"/>
              </w:rPr>
              <w:t xml:space="preserve">, y cada una de ellas, </w:t>
            </w:r>
            <w:r>
              <w:rPr>
                <w:lang w:val="es-ES"/>
              </w:rPr>
              <w:t>el</w:t>
            </w:r>
            <w:r w:rsidR="000472AF">
              <w:rPr>
                <w:lang w:val="es-ES"/>
              </w:rPr>
              <w:t xml:space="preserve"> o un</w:t>
            </w:r>
            <w:r>
              <w:rPr>
                <w:lang w:val="es-ES"/>
              </w:rPr>
              <w:t xml:space="preserve"> </w:t>
            </w:r>
            <w:proofErr w:type="spellStart"/>
            <w:r w:rsidRPr="00236E5A">
              <w:rPr>
                <w:b/>
                <w:lang w:val="es-ES"/>
              </w:rPr>
              <w:t>Pignorante</w:t>
            </w:r>
            <w:proofErr w:type="spellEnd"/>
            <w:r w:rsidRPr="00E53971">
              <w:rPr>
                <w:lang w:val="es-ES"/>
              </w:rPr>
              <w:t>.</w:t>
            </w:r>
          </w:p>
        </w:tc>
        <w:tc>
          <w:tcPr>
            <w:tcW w:w="2500" w:type="pct"/>
            <w:shd w:val="clear" w:color="auto" w:fill="auto"/>
          </w:tcPr>
          <w:p w14:paraId="786C164A" w14:textId="45176BD3" w:rsidR="00236E5A" w:rsidRPr="00901F23" w:rsidRDefault="00236E5A" w:rsidP="00236E5A">
            <w:pPr>
              <w:pStyle w:val="AODocTxt"/>
            </w:pPr>
            <w:r w:rsidRPr="00DD1ECB">
              <w:t>The</w:t>
            </w:r>
            <w:r>
              <w:t xml:space="preserve"> entities listed in sections </w:t>
            </w:r>
            <w:r>
              <w:fldChar w:fldCharType="begin"/>
            </w:r>
            <w:r>
              <w:instrText xml:space="preserve"> REF _Ref99449048 \r \h </w:instrText>
            </w:r>
            <w:r>
              <w:fldChar w:fldCharType="separate"/>
            </w:r>
            <w:r w:rsidR="00515A5E">
              <w:t>(1)</w:t>
            </w:r>
            <w:r>
              <w:fldChar w:fldCharType="end"/>
            </w:r>
            <w:r>
              <w:t xml:space="preserve"> to </w:t>
            </w:r>
            <w:r>
              <w:fldChar w:fldCharType="begin"/>
            </w:r>
            <w:r>
              <w:instrText xml:space="preserve"> REF _Ref99449056 \r \h </w:instrText>
            </w:r>
            <w:r>
              <w:fldChar w:fldCharType="separate"/>
            </w:r>
            <w:r w:rsidR="00515A5E">
              <w:t>(2)</w:t>
            </w:r>
            <w:r>
              <w:fldChar w:fldCharType="end"/>
            </w:r>
            <w:r>
              <w:t xml:space="preserve"> above (both included)</w:t>
            </w:r>
            <w:r w:rsidRPr="00901F23">
              <w:t xml:space="preserve"> will be jointly referred to as the </w:t>
            </w:r>
            <w:r>
              <w:rPr>
                <w:b/>
              </w:rPr>
              <w:t>Pledgors</w:t>
            </w:r>
            <w:r w:rsidRPr="00901F23">
              <w:t xml:space="preserve">, and each of them </w:t>
            </w:r>
            <w:r>
              <w:t xml:space="preserve">as the or a </w:t>
            </w:r>
            <w:r w:rsidRPr="00236E5A">
              <w:rPr>
                <w:b/>
              </w:rPr>
              <w:t>Pledgor</w:t>
            </w:r>
            <w:r w:rsidRPr="00901F23">
              <w:t>.</w:t>
            </w:r>
          </w:p>
        </w:tc>
      </w:tr>
      <w:tr w:rsidR="00CD7F22" w:rsidRPr="00903DBF" w14:paraId="55C469E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85F7358" w14:textId="305D7181" w:rsidR="00CD7F22" w:rsidRDefault="00CD7F22" w:rsidP="00CD7F22">
            <w:pPr>
              <w:pStyle w:val="AODocTxt"/>
              <w:rPr>
                <w:lang w:val="es-ES"/>
              </w:rPr>
            </w:pPr>
            <w:r>
              <w:rPr>
                <w:lang w:val="es-ES"/>
              </w:rPr>
              <w:t xml:space="preserve">Asimismo, Beacon Iberia en su condición de garante bajo el Contrato entre Acreedores (tal y como este término se define a continuación), será </w:t>
            </w:r>
            <w:proofErr w:type="gramStart"/>
            <w:r>
              <w:rPr>
                <w:lang w:val="es-ES"/>
              </w:rPr>
              <w:t>denominada como</w:t>
            </w:r>
            <w:proofErr w:type="gramEnd"/>
            <w:r>
              <w:rPr>
                <w:lang w:val="es-ES"/>
              </w:rPr>
              <w:t xml:space="preserve"> el </w:t>
            </w:r>
            <w:r w:rsidRPr="00F43ECC">
              <w:rPr>
                <w:b/>
                <w:bCs/>
                <w:lang w:val="es-ES"/>
              </w:rPr>
              <w:t>Garante</w:t>
            </w:r>
            <w:r>
              <w:rPr>
                <w:lang w:val="es-ES"/>
              </w:rPr>
              <w:t>.</w:t>
            </w:r>
          </w:p>
        </w:tc>
        <w:tc>
          <w:tcPr>
            <w:tcW w:w="2500" w:type="pct"/>
            <w:shd w:val="clear" w:color="auto" w:fill="auto"/>
          </w:tcPr>
          <w:p w14:paraId="40D8BC81" w14:textId="0BD832A4" w:rsidR="00CD7F22" w:rsidRPr="00DD1ECB" w:rsidRDefault="00CD7F22" w:rsidP="00CD7F22">
            <w:pPr>
              <w:pStyle w:val="AODocTxt"/>
            </w:pPr>
            <w:r w:rsidRPr="00222DDB">
              <w:rPr>
                <w:lang w:val="en-US"/>
              </w:rPr>
              <w:t>Likewise,</w:t>
            </w:r>
            <w:r>
              <w:rPr>
                <w:lang w:val="en-US"/>
              </w:rPr>
              <w:t xml:space="preserve"> Beacon Iberia in its condition as guarantor under the STID (as this term is defined below) shall be</w:t>
            </w:r>
            <w:r w:rsidRPr="00222DDB">
              <w:rPr>
                <w:lang w:val="en-US"/>
              </w:rPr>
              <w:t xml:space="preserve"> </w:t>
            </w:r>
            <w:r w:rsidRPr="00901F23">
              <w:t xml:space="preserve">referred to as the </w:t>
            </w:r>
            <w:r>
              <w:rPr>
                <w:b/>
              </w:rPr>
              <w:t xml:space="preserve">Guarantor. </w:t>
            </w:r>
          </w:p>
        </w:tc>
      </w:tr>
      <w:tr w:rsidR="00A4422A" w:rsidRPr="00847DF9" w14:paraId="2A78B3C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69B3E17" w14:textId="6A5917ED" w:rsidR="00A4422A" w:rsidRPr="00847DF9" w:rsidRDefault="00A4422A" w:rsidP="00B53048">
            <w:pPr>
              <w:pStyle w:val="AODocTxt"/>
              <w:rPr>
                <w:b/>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r w:rsidR="00210A06">
              <w:rPr>
                <w:b/>
              </w:rPr>
              <w:t xml:space="preserve"> </w:t>
            </w:r>
          </w:p>
        </w:tc>
        <w:tc>
          <w:tcPr>
            <w:tcW w:w="2500" w:type="pct"/>
            <w:shd w:val="clear" w:color="auto" w:fill="auto"/>
          </w:tcPr>
          <w:p w14:paraId="4CA9D5B7" w14:textId="77777777" w:rsidR="00A4422A" w:rsidRPr="00847DF9" w:rsidRDefault="00A4422A" w:rsidP="00B53048">
            <w:pPr>
              <w:pStyle w:val="AODocTxt"/>
              <w:rPr>
                <w:b/>
              </w:rPr>
            </w:pPr>
            <w:r w:rsidRPr="00847DF9">
              <w:rPr>
                <w:b/>
              </w:rPr>
              <w:t>On the other hand,</w:t>
            </w:r>
          </w:p>
        </w:tc>
      </w:tr>
      <w:tr w:rsidR="00A4422A" w:rsidRPr="00A4106E" w14:paraId="515291E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394F0FD" w14:textId="003519B2" w:rsidR="00A4422A" w:rsidRPr="005B3033" w:rsidRDefault="00A4422A" w:rsidP="00A4422A">
            <w:pPr>
              <w:pStyle w:val="AO1"/>
              <w:rPr>
                <w:b/>
                <w:lang w:val="fr-FR"/>
              </w:rPr>
            </w:pPr>
            <w:bookmarkStart w:id="19" w:name="_Ref86085567"/>
            <w:r w:rsidRPr="005B3033">
              <w:rPr>
                <w:b/>
                <w:lang w:val="fr-FR"/>
              </w:rPr>
              <w:t>CIBC CAPITAL MARKETS (EUROPE) S.A.</w:t>
            </w:r>
            <w:bookmarkEnd w:id="19"/>
          </w:p>
        </w:tc>
        <w:tc>
          <w:tcPr>
            <w:tcW w:w="2500" w:type="pct"/>
            <w:shd w:val="clear" w:color="auto" w:fill="auto"/>
          </w:tcPr>
          <w:p w14:paraId="33EE201C" w14:textId="77777777" w:rsidR="00A4422A" w:rsidRPr="005B3033" w:rsidRDefault="00A4422A" w:rsidP="007E2625">
            <w:pPr>
              <w:pStyle w:val="AODocTxt"/>
              <w:numPr>
                <w:ilvl w:val="0"/>
                <w:numId w:val="33"/>
              </w:numPr>
              <w:ind w:hanging="720"/>
              <w:rPr>
                <w:b/>
                <w:lang w:val="fr-FR"/>
              </w:rPr>
            </w:pPr>
            <w:bookmarkStart w:id="20" w:name="_Ref86085628"/>
            <w:r w:rsidRPr="005B3033">
              <w:rPr>
                <w:b/>
                <w:lang w:val="fr-FR"/>
              </w:rPr>
              <w:t>CIBC CAPITAL MARKETS (EUROPE) S.A.</w:t>
            </w:r>
            <w:bookmarkEnd w:id="20"/>
          </w:p>
        </w:tc>
      </w:tr>
      <w:tr w:rsidR="00A4422A" w:rsidRPr="00A4106E" w14:paraId="71E8E91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7B56DC4" w14:textId="77777777" w:rsidR="00A4422A" w:rsidRPr="005B3033" w:rsidRDefault="00A4422A" w:rsidP="00B53048">
            <w:pPr>
              <w:pStyle w:val="AO1"/>
              <w:rPr>
                <w:b/>
                <w:lang w:val="de-DE"/>
              </w:rPr>
            </w:pPr>
            <w:r w:rsidRPr="005B3033">
              <w:rPr>
                <w:b/>
                <w:lang w:val="de-DE"/>
              </w:rPr>
              <w:t>DEUTSCHE BANK AG, LONDON BRANCH</w:t>
            </w:r>
          </w:p>
        </w:tc>
        <w:tc>
          <w:tcPr>
            <w:tcW w:w="2500" w:type="pct"/>
            <w:shd w:val="clear" w:color="auto" w:fill="auto"/>
          </w:tcPr>
          <w:p w14:paraId="3640E048" w14:textId="77777777" w:rsidR="00A4422A" w:rsidRPr="005B3033" w:rsidRDefault="00A4422A" w:rsidP="007E2625">
            <w:pPr>
              <w:pStyle w:val="AODocTxt"/>
              <w:numPr>
                <w:ilvl w:val="0"/>
                <w:numId w:val="33"/>
              </w:numPr>
              <w:ind w:hanging="720"/>
              <w:rPr>
                <w:b/>
                <w:lang w:val="de-DE"/>
              </w:rPr>
            </w:pPr>
            <w:r w:rsidRPr="005B3033">
              <w:rPr>
                <w:b/>
                <w:lang w:val="de-DE"/>
              </w:rPr>
              <w:t>DEUTSCHE BANK AG, LONDON BRANCH</w:t>
            </w:r>
          </w:p>
        </w:tc>
      </w:tr>
      <w:tr w:rsidR="00A4422A" w14:paraId="3A04EEA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F432DBD" w14:textId="22FF13AD" w:rsidR="00A4422A" w:rsidRPr="00D22BC4" w:rsidRDefault="00A4422A" w:rsidP="00B53048">
            <w:pPr>
              <w:pStyle w:val="AO1"/>
              <w:rPr>
                <w:b/>
              </w:rPr>
            </w:pPr>
            <w:bookmarkStart w:id="21" w:name="_Ref67050185"/>
            <w:r>
              <w:rPr>
                <w:b/>
              </w:rPr>
              <w:t>HAMBURG COMMERCIAL BANK AG</w:t>
            </w:r>
            <w:bookmarkEnd w:id="21"/>
          </w:p>
        </w:tc>
        <w:tc>
          <w:tcPr>
            <w:tcW w:w="2500" w:type="pct"/>
            <w:shd w:val="clear" w:color="auto" w:fill="auto"/>
          </w:tcPr>
          <w:p w14:paraId="1F3E746B" w14:textId="77777777" w:rsidR="00A4422A" w:rsidRDefault="00A4422A" w:rsidP="007E2625">
            <w:pPr>
              <w:pStyle w:val="AODocTxt"/>
              <w:numPr>
                <w:ilvl w:val="0"/>
                <w:numId w:val="33"/>
              </w:numPr>
              <w:ind w:hanging="720"/>
              <w:rPr>
                <w:b/>
              </w:rPr>
            </w:pPr>
            <w:bookmarkStart w:id="22" w:name="_Ref99449152"/>
            <w:r w:rsidRPr="00ED4F04">
              <w:rPr>
                <w:b/>
              </w:rPr>
              <w:t>HAMBURG COMMERCIAL BANK AG</w:t>
            </w:r>
            <w:bookmarkEnd w:id="22"/>
          </w:p>
        </w:tc>
      </w:tr>
      <w:tr w:rsidR="00A4422A" w:rsidRPr="00D22BC4" w14:paraId="52D5FC1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A448F4D" w14:textId="77777777" w:rsidR="00A4422A" w:rsidRPr="00D22BC4" w:rsidRDefault="00A4422A" w:rsidP="00A4422A">
            <w:pPr>
              <w:pStyle w:val="AO1"/>
              <w:rPr>
                <w:b/>
              </w:rPr>
            </w:pPr>
            <w:r w:rsidRPr="00ED4F04">
              <w:rPr>
                <w:b/>
              </w:rPr>
              <w:t>IN</w:t>
            </w:r>
            <w:r>
              <w:rPr>
                <w:b/>
              </w:rPr>
              <w:t>G BANK, A BRANCH OF ING-DIBA AG</w:t>
            </w:r>
          </w:p>
        </w:tc>
        <w:tc>
          <w:tcPr>
            <w:tcW w:w="2500" w:type="pct"/>
            <w:shd w:val="clear" w:color="auto" w:fill="auto"/>
          </w:tcPr>
          <w:p w14:paraId="633A68DE" w14:textId="77777777" w:rsidR="00A4422A" w:rsidRPr="00D22BC4" w:rsidRDefault="00A4422A" w:rsidP="007E2625">
            <w:pPr>
              <w:pStyle w:val="AODocTxt"/>
              <w:numPr>
                <w:ilvl w:val="0"/>
                <w:numId w:val="33"/>
              </w:numPr>
              <w:ind w:hanging="720"/>
              <w:rPr>
                <w:b/>
              </w:rPr>
            </w:pPr>
            <w:r w:rsidRPr="00ED4F04">
              <w:rPr>
                <w:b/>
              </w:rPr>
              <w:t>IN</w:t>
            </w:r>
            <w:r>
              <w:rPr>
                <w:b/>
              </w:rPr>
              <w:t>G BANK, A BRANCH OF ING-DIBA AG</w:t>
            </w:r>
          </w:p>
        </w:tc>
      </w:tr>
      <w:tr w:rsidR="00A4422A" w:rsidRPr="00D22BC4" w14:paraId="1B4D9E8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633F5D5" w14:textId="13FC04CB" w:rsidR="00A4422A" w:rsidRPr="00D22BC4" w:rsidRDefault="00A4422A" w:rsidP="00F25678">
            <w:pPr>
              <w:pStyle w:val="AO1"/>
              <w:rPr>
                <w:b/>
              </w:rPr>
            </w:pPr>
            <w:r>
              <w:rPr>
                <w:b/>
              </w:rPr>
              <w:t xml:space="preserve">MUFG BANK </w:t>
            </w:r>
            <w:r w:rsidR="00F25678">
              <w:rPr>
                <w:b/>
              </w:rPr>
              <w:t>(Europe) N.V.</w:t>
            </w:r>
          </w:p>
        </w:tc>
        <w:tc>
          <w:tcPr>
            <w:tcW w:w="2500" w:type="pct"/>
            <w:shd w:val="clear" w:color="auto" w:fill="auto"/>
          </w:tcPr>
          <w:p w14:paraId="426AEE88" w14:textId="286F9EDC" w:rsidR="00A4422A" w:rsidRPr="00D22BC4" w:rsidRDefault="00A4422A" w:rsidP="007E2625">
            <w:pPr>
              <w:pStyle w:val="AODocTxt"/>
              <w:numPr>
                <w:ilvl w:val="0"/>
                <w:numId w:val="33"/>
              </w:numPr>
              <w:ind w:hanging="720"/>
              <w:rPr>
                <w:b/>
              </w:rPr>
            </w:pPr>
            <w:r w:rsidRPr="00ED4F04">
              <w:rPr>
                <w:b/>
              </w:rPr>
              <w:t>M</w:t>
            </w:r>
            <w:r>
              <w:rPr>
                <w:b/>
              </w:rPr>
              <w:t xml:space="preserve">UFG BANK </w:t>
            </w:r>
            <w:r w:rsidR="00F25678">
              <w:rPr>
                <w:b/>
              </w:rPr>
              <w:t>(Europe) N.V.</w:t>
            </w:r>
          </w:p>
        </w:tc>
      </w:tr>
      <w:tr w:rsidR="00A4422A" w:rsidRPr="00D22BC4" w14:paraId="6391972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BC6EFE5" w14:textId="77777777" w:rsidR="00A4422A" w:rsidRPr="00D22BC4" w:rsidRDefault="00A4422A" w:rsidP="00A4422A">
            <w:pPr>
              <w:pStyle w:val="AO1"/>
              <w:rPr>
                <w:b/>
              </w:rPr>
            </w:pPr>
            <w:r w:rsidRPr="00ED4F04">
              <w:rPr>
                <w:b/>
              </w:rPr>
              <w:t xml:space="preserve">BANCO </w:t>
            </w:r>
            <w:r>
              <w:rPr>
                <w:b/>
              </w:rPr>
              <w:t>SANTANDER, S.A.</w:t>
            </w:r>
          </w:p>
        </w:tc>
        <w:tc>
          <w:tcPr>
            <w:tcW w:w="2500" w:type="pct"/>
            <w:shd w:val="clear" w:color="auto" w:fill="auto"/>
          </w:tcPr>
          <w:p w14:paraId="69EDD1AC" w14:textId="77777777" w:rsidR="00A4422A" w:rsidRPr="00D22BC4" w:rsidRDefault="00A4422A" w:rsidP="007E2625">
            <w:pPr>
              <w:pStyle w:val="AODocTxt"/>
              <w:numPr>
                <w:ilvl w:val="0"/>
                <w:numId w:val="33"/>
              </w:numPr>
              <w:ind w:hanging="720"/>
              <w:rPr>
                <w:b/>
              </w:rPr>
            </w:pPr>
            <w:r w:rsidRPr="00ED4F04">
              <w:rPr>
                <w:b/>
              </w:rPr>
              <w:t xml:space="preserve">BANCO </w:t>
            </w:r>
            <w:r>
              <w:rPr>
                <w:b/>
              </w:rPr>
              <w:t>SANTANDER, S.A.</w:t>
            </w:r>
          </w:p>
        </w:tc>
      </w:tr>
      <w:tr w:rsidR="00A4422A" w:rsidRPr="00ED4F04" w14:paraId="0DE3E0C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36009E1" w14:textId="6FF49B2B" w:rsidR="00A4422A" w:rsidRPr="00ED4F04" w:rsidRDefault="00A4422A" w:rsidP="00A4422A">
            <w:pPr>
              <w:pStyle w:val="AO1"/>
              <w:rPr>
                <w:b/>
              </w:rPr>
            </w:pPr>
            <w:bookmarkStart w:id="23" w:name="_Ref67050110"/>
            <w:r w:rsidRPr="00ED4F04">
              <w:rPr>
                <w:b/>
              </w:rPr>
              <w:lastRenderedPageBreak/>
              <w:t>SUMITOMO MITSUI BANKING CORPORATION, BRUSSELS BRANCH</w:t>
            </w:r>
            <w:bookmarkEnd w:id="23"/>
          </w:p>
        </w:tc>
        <w:tc>
          <w:tcPr>
            <w:tcW w:w="2500" w:type="pct"/>
            <w:shd w:val="clear" w:color="auto" w:fill="auto"/>
          </w:tcPr>
          <w:p w14:paraId="7667F9B7" w14:textId="77777777" w:rsidR="00A4422A" w:rsidRPr="00ED4F04" w:rsidRDefault="00A4422A" w:rsidP="007E2625">
            <w:pPr>
              <w:pStyle w:val="AODocTxt"/>
              <w:numPr>
                <w:ilvl w:val="0"/>
                <w:numId w:val="33"/>
              </w:numPr>
              <w:ind w:hanging="720"/>
              <w:rPr>
                <w:b/>
              </w:rPr>
            </w:pPr>
            <w:bookmarkStart w:id="24" w:name="_Ref67050132"/>
            <w:r w:rsidRPr="00ED4F04">
              <w:rPr>
                <w:b/>
              </w:rPr>
              <w:t>SUMITOMO MITSUI BANKING CORPORATION, BRUSSELS BRANCH</w:t>
            </w:r>
            <w:bookmarkEnd w:id="24"/>
          </w:p>
        </w:tc>
      </w:tr>
      <w:tr w:rsidR="00F25678" w:rsidRPr="00ED4F04" w14:paraId="4FF7D62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9BD950E" w14:textId="77DB6EDA" w:rsidR="00F25678" w:rsidRPr="00F25678" w:rsidRDefault="00F25678" w:rsidP="00A4422A">
            <w:pPr>
              <w:pStyle w:val="AO1"/>
              <w:rPr>
                <w:b/>
              </w:rPr>
            </w:pPr>
            <w:r w:rsidRPr="00F25678">
              <w:rPr>
                <w:rFonts w:eastAsia="Calibri"/>
                <w:b/>
              </w:rPr>
              <w:t>SHAMROCK INFRASTRUCTURE DEBT COMPANY UNDERSHAFT GBP DESIGNATED ACTIVITY COMPANY</w:t>
            </w:r>
          </w:p>
        </w:tc>
        <w:tc>
          <w:tcPr>
            <w:tcW w:w="2500" w:type="pct"/>
            <w:shd w:val="clear" w:color="auto" w:fill="auto"/>
          </w:tcPr>
          <w:p w14:paraId="290C17BF" w14:textId="4965319B" w:rsidR="00F25678" w:rsidRPr="00F25678" w:rsidRDefault="00F25678" w:rsidP="007E2625">
            <w:pPr>
              <w:pStyle w:val="AODocTxt"/>
              <w:numPr>
                <w:ilvl w:val="0"/>
                <w:numId w:val="33"/>
              </w:numPr>
              <w:ind w:hanging="720"/>
              <w:rPr>
                <w:b/>
              </w:rPr>
            </w:pPr>
            <w:r w:rsidRPr="00F25678">
              <w:rPr>
                <w:rFonts w:eastAsia="Calibri"/>
                <w:b/>
              </w:rPr>
              <w:t>SHAMROCK INFRASTRUCTURE DEBT COMPANY UNDERSHAFT GBP DESIGNATED ACTIVITY COMPANY</w:t>
            </w:r>
          </w:p>
        </w:tc>
      </w:tr>
      <w:tr w:rsidR="00A4422A" w:rsidRPr="00901F23" w14:paraId="21E103A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A3349DF" w14:textId="47A67416" w:rsidR="00A4422A" w:rsidRPr="00E53971" w:rsidRDefault="00A4422A" w:rsidP="00F25678">
            <w:pPr>
              <w:pStyle w:val="AODocTxt"/>
              <w:rPr>
                <w:lang w:val="es-ES"/>
              </w:rPr>
            </w:pPr>
            <w:r>
              <w:rPr>
                <w:lang w:val="es-ES"/>
              </w:rPr>
              <w:t xml:space="preserve">Las entidades enumeradas en los apartados </w:t>
            </w:r>
            <w:r w:rsidR="00F25678">
              <w:rPr>
                <w:lang w:val="es-ES"/>
              </w:rPr>
              <w:t xml:space="preserve">(3) </w:t>
            </w:r>
            <w:r>
              <w:rPr>
                <w:lang w:val="es-ES"/>
              </w:rPr>
              <w:t xml:space="preserve">a </w:t>
            </w:r>
            <w:r w:rsidR="00F25678">
              <w:rPr>
                <w:lang w:val="es-ES"/>
              </w:rPr>
              <w:t>(10)</w:t>
            </w:r>
            <w:r>
              <w:rPr>
                <w:lang w:val="es-ES"/>
              </w:rPr>
              <w:t xml:space="preserve"> anteriores (ambas inclusive)</w:t>
            </w:r>
            <w:r w:rsidRPr="00E53971">
              <w:rPr>
                <w:lang w:val="es-ES"/>
              </w:rPr>
              <w:t xml:space="preserve"> en su condición de entidades financiadoras </w:t>
            </w:r>
            <w:r>
              <w:rPr>
                <w:lang w:val="es-ES"/>
              </w:rPr>
              <w:t>ACF iniciales</w:t>
            </w:r>
            <w:r w:rsidRPr="00E53971">
              <w:rPr>
                <w:lang w:val="es-ES"/>
              </w:rPr>
              <w:t xml:space="preserve"> (</w:t>
            </w:r>
            <w:proofErr w:type="spellStart"/>
            <w:r>
              <w:rPr>
                <w:i/>
                <w:lang w:val="es-ES"/>
              </w:rPr>
              <w:t>Initial</w:t>
            </w:r>
            <w:proofErr w:type="spellEnd"/>
            <w:r>
              <w:rPr>
                <w:i/>
                <w:lang w:val="es-ES"/>
              </w:rPr>
              <w:t xml:space="preserve"> ACF </w:t>
            </w:r>
            <w:proofErr w:type="spellStart"/>
            <w:r>
              <w:rPr>
                <w:i/>
                <w:lang w:val="es-ES"/>
              </w:rPr>
              <w:t>L</w:t>
            </w:r>
            <w:r w:rsidRPr="00E53971">
              <w:rPr>
                <w:i/>
                <w:lang w:val="es-ES"/>
              </w:rPr>
              <w:t>enders</w:t>
            </w:r>
            <w:proofErr w:type="spellEnd"/>
            <w:r>
              <w:rPr>
                <w:lang w:val="es-ES"/>
              </w:rPr>
              <w:t>) bajo el Contrato de Crédito Autorizado Inicial</w:t>
            </w:r>
            <w:r w:rsidRPr="00E53971">
              <w:rPr>
                <w:lang w:val="es-ES"/>
              </w:rPr>
              <w:t xml:space="preserve"> (tal y como este término se define a continuación), junto con cualquiera de sus cesionarios o aquellas entidades que en cada momento ostenten tal condición bajo el mismo, serán referidas conjuntamente como las </w:t>
            </w:r>
            <w:r w:rsidRPr="00E53971">
              <w:rPr>
                <w:b/>
                <w:lang w:val="es-ES"/>
              </w:rPr>
              <w:t>Entidades Financiadoras</w:t>
            </w:r>
            <w:r>
              <w:rPr>
                <w:b/>
                <w:lang w:val="es-ES"/>
              </w:rPr>
              <w:t xml:space="preserve"> Iniciales ACF</w:t>
            </w:r>
            <w:r w:rsidRPr="00E53971">
              <w:rPr>
                <w:lang w:val="es-ES"/>
              </w:rPr>
              <w:t xml:space="preserve">, y cada una de ellas, una </w:t>
            </w:r>
            <w:r w:rsidRPr="00E53971">
              <w:rPr>
                <w:b/>
                <w:lang w:val="es-ES"/>
              </w:rPr>
              <w:t>Entidad Financiadora</w:t>
            </w:r>
            <w:r>
              <w:rPr>
                <w:b/>
                <w:lang w:val="es-ES"/>
              </w:rPr>
              <w:t xml:space="preserve"> Inicial ACF</w:t>
            </w:r>
            <w:r w:rsidRPr="00E53971">
              <w:rPr>
                <w:lang w:val="es-ES"/>
              </w:rPr>
              <w:t>.</w:t>
            </w:r>
          </w:p>
        </w:tc>
        <w:tc>
          <w:tcPr>
            <w:tcW w:w="2500" w:type="pct"/>
            <w:shd w:val="clear" w:color="auto" w:fill="auto"/>
          </w:tcPr>
          <w:p w14:paraId="1CA5DB76" w14:textId="4846542A" w:rsidR="00A4422A" w:rsidRPr="00901F23" w:rsidRDefault="00A4422A" w:rsidP="00F25678">
            <w:pPr>
              <w:pStyle w:val="AODocTxt"/>
            </w:pPr>
            <w:r w:rsidRPr="00DD1ECB">
              <w:t>The</w:t>
            </w:r>
            <w:r w:rsidR="00481FC9">
              <w:t xml:space="preserve"> entities listed in sections </w:t>
            </w:r>
            <w:r w:rsidR="00F25678">
              <w:t>(3) to (10)</w:t>
            </w:r>
            <w:r>
              <w:t xml:space="preserve"> above (both included)</w:t>
            </w:r>
            <w:r w:rsidRPr="00901F23">
              <w:t xml:space="preserve"> as </w:t>
            </w:r>
            <w:r>
              <w:t xml:space="preserve">the initial ACF </w:t>
            </w:r>
            <w:r w:rsidRPr="00901F23">
              <w:t xml:space="preserve">lenders under the </w:t>
            </w:r>
            <w:r w:rsidRPr="007F64F9">
              <w:t>Initial Authorised Credit Facilities Agreement</w:t>
            </w:r>
            <w:r w:rsidRPr="00901F23">
              <w:t xml:space="preserve"> (as this term is defined below), together with any of its assignees and transferees or entities holding such position from time to time thereunder, will be jointly referred to as the </w:t>
            </w:r>
            <w:r w:rsidRPr="007F64F9">
              <w:rPr>
                <w:b/>
              </w:rPr>
              <w:t>Initial ACF</w:t>
            </w:r>
            <w:r>
              <w:t xml:space="preserve"> </w:t>
            </w:r>
            <w:r w:rsidRPr="00847DF9">
              <w:rPr>
                <w:b/>
              </w:rPr>
              <w:t>Lenders</w:t>
            </w:r>
            <w:r w:rsidRPr="00901F23">
              <w:t xml:space="preserve">, and each of them </w:t>
            </w:r>
            <w:r>
              <w:t xml:space="preserve">as </w:t>
            </w:r>
            <w:r w:rsidRPr="00901F23">
              <w:t>a</w:t>
            </w:r>
            <w:r>
              <w:t xml:space="preserve">n </w:t>
            </w:r>
            <w:r w:rsidRPr="007F64F9">
              <w:rPr>
                <w:b/>
              </w:rPr>
              <w:t>Initial ACF</w:t>
            </w:r>
            <w:r w:rsidRPr="00901F23">
              <w:t xml:space="preserve"> </w:t>
            </w:r>
            <w:r w:rsidRPr="00847DF9">
              <w:rPr>
                <w:b/>
              </w:rPr>
              <w:t>Lender</w:t>
            </w:r>
            <w:r w:rsidRPr="00901F23">
              <w:t>.</w:t>
            </w:r>
          </w:p>
        </w:tc>
      </w:tr>
      <w:tr w:rsidR="00A4422A" w:rsidRPr="0006775C" w14:paraId="6C6323C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054EF16" w14:textId="35BF8BFE" w:rsidR="00A4422A" w:rsidRPr="00ED4F04" w:rsidRDefault="00A4422A" w:rsidP="00F25678">
            <w:pPr>
              <w:pStyle w:val="AODocTxt"/>
              <w:rPr>
                <w:lang w:val="es-ES"/>
              </w:rPr>
            </w:pPr>
            <w:r>
              <w:rPr>
                <w:lang w:val="es-ES"/>
              </w:rPr>
              <w:t xml:space="preserve">Asimismo, las entidades enumeradas en los apartados </w:t>
            </w:r>
            <w:r w:rsidR="00236E5A">
              <w:rPr>
                <w:lang w:val="es-ES"/>
              </w:rPr>
              <w:fldChar w:fldCharType="begin"/>
            </w:r>
            <w:r w:rsidR="00236E5A">
              <w:rPr>
                <w:lang w:val="es-ES"/>
              </w:rPr>
              <w:instrText xml:space="preserve"> REF _Ref86085567 \r \h </w:instrText>
            </w:r>
            <w:r w:rsidR="00236E5A">
              <w:rPr>
                <w:lang w:val="es-ES"/>
              </w:rPr>
            </w:r>
            <w:r w:rsidR="00236E5A">
              <w:rPr>
                <w:lang w:val="es-ES"/>
              </w:rPr>
              <w:fldChar w:fldCharType="separate"/>
            </w:r>
            <w:r w:rsidR="00515A5E">
              <w:rPr>
                <w:lang w:val="es-ES"/>
              </w:rPr>
              <w:t>(3)</w:t>
            </w:r>
            <w:r w:rsidR="00236E5A">
              <w:rPr>
                <w:lang w:val="es-ES"/>
              </w:rPr>
              <w:fldChar w:fldCharType="end"/>
            </w:r>
            <w:r w:rsidR="00B522EB">
              <w:rPr>
                <w:lang w:val="es-ES"/>
              </w:rPr>
              <w:t xml:space="preserve"> </w:t>
            </w:r>
            <w:r>
              <w:rPr>
                <w:lang w:val="es-ES"/>
              </w:rPr>
              <w:t xml:space="preserve">y del </w:t>
            </w:r>
            <w:r w:rsidR="00236E5A">
              <w:rPr>
                <w:lang w:val="es-ES"/>
              </w:rPr>
              <w:fldChar w:fldCharType="begin"/>
            </w:r>
            <w:r w:rsidR="00236E5A">
              <w:rPr>
                <w:lang w:val="es-ES"/>
              </w:rPr>
              <w:instrText xml:space="preserve"> REF _Ref67050185 \r \h </w:instrText>
            </w:r>
            <w:r w:rsidR="00236E5A">
              <w:rPr>
                <w:lang w:val="es-ES"/>
              </w:rPr>
            </w:r>
            <w:r w:rsidR="00236E5A">
              <w:rPr>
                <w:lang w:val="es-ES"/>
              </w:rPr>
              <w:fldChar w:fldCharType="separate"/>
            </w:r>
            <w:r w:rsidR="00515A5E">
              <w:rPr>
                <w:lang w:val="es-ES"/>
              </w:rPr>
              <w:t>(5)</w:t>
            </w:r>
            <w:r w:rsidR="00236E5A">
              <w:rPr>
                <w:lang w:val="es-ES"/>
              </w:rPr>
              <w:fldChar w:fldCharType="end"/>
            </w:r>
            <w:r>
              <w:rPr>
                <w:lang w:val="es-ES"/>
              </w:rPr>
              <w:t xml:space="preserve"> al </w:t>
            </w:r>
            <w:r w:rsidR="00F25678">
              <w:rPr>
                <w:lang w:val="es-ES"/>
              </w:rPr>
              <w:t>(10)</w:t>
            </w:r>
            <w:r>
              <w:rPr>
                <w:lang w:val="es-ES"/>
              </w:rPr>
              <w:t xml:space="preserve"> anteriores (inclusive)</w:t>
            </w:r>
            <w:r w:rsidRPr="00E53971">
              <w:rPr>
                <w:lang w:val="es-ES"/>
              </w:rPr>
              <w:t xml:space="preserve"> en su condición de entidades financiadoras </w:t>
            </w:r>
            <w:r>
              <w:rPr>
                <w:lang w:val="es-ES"/>
              </w:rPr>
              <w:t xml:space="preserve">MRF iniciales </w:t>
            </w:r>
            <w:r w:rsidRPr="00E53971">
              <w:rPr>
                <w:lang w:val="es-ES"/>
              </w:rPr>
              <w:t>(</w:t>
            </w:r>
            <w:proofErr w:type="spellStart"/>
            <w:r>
              <w:rPr>
                <w:i/>
                <w:lang w:val="es-ES"/>
              </w:rPr>
              <w:t>Initial</w:t>
            </w:r>
            <w:proofErr w:type="spellEnd"/>
            <w:r>
              <w:rPr>
                <w:i/>
                <w:lang w:val="es-ES"/>
              </w:rPr>
              <w:t xml:space="preserve"> MRF </w:t>
            </w:r>
            <w:proofErr w:type="spellStart"/>
            <w:r>
              <w:rPr>
                <w:i/>
                <w:lang w:val="es-ES"/>
              </w:rPr>
              <w:t>L</w:t>
            </w:r>
            <w:r w:rsidRPr="00E53971">
              <w:rPr>
                <w:i/>
                <w:lang w:val="es-ES"/>
              </w:rPr>
              <w:t>enders</w:t>
            </w:r>
            <w:proofErr w:type="spellEnd"/>
            <w:r>
              <w:rPr>
                <w:lang w:val="es-ES"/>
              </w:rPr>
              <w:t>) bajo el Contrato de Crédito MRF</w:t>
            </w:r>
            <w:r w:rsidRPr="00E53971">
              <w:rPr>
                <w:lang w:val="es-ES"/>
              </w:rPr>
              <w:t xml:space="preserve"> (tal y como este término se define a continuación), junto con cualquiera de sus cesionarios o aquellas entidades que en cada momento ostenten tal condición bajo el mismo, serán referidas conjuntamente como las </w:t>
            </w:r>
            <w:r w:rsidRPr="00E53971">
              <w:rPr>
                <w:b/>
                <w:lang w:val="es-ES"/>
              </w:rPr>
              <w:t>Entidades Financiadoras</w:t>
            </w:r>
            <w:r>
              <w:rPr>
                <w:b/>
                <w:lang w:val="es-ES"/>
              </w:rPr>
              <w:t xml:space="preserve"> Iniciales MRF</w:t>
            </w:r>
            <w:r w:rsidRPr="00E53971">
              <w:rPr>
                <w:lang w:val="es-ES"/>
              </w:rPr>
              <w:t xml:space="preserve">, y cada una de ellas, una </w:t>
            </w:r>
            <w:r w:rsidRPr="00E53971">
              <w:rPr>
                <w:b/>
                <w:lang w:val="es-ES"/>
              </w:rPr>
              <w:t>Entidad Financiadora</w:t>
            </w:r>
            <w:r>
              <w:rPr>
                <w:b/>
                <w:lang w:val="es-ES"/>
              </w:rPr>
              <w:t xml:space="preserve"> Inicial MRF</w:t>
            </w:r>
            <w:r w:rsidRPr="00E53971">
              <w:rPr>
                <w:lang w:val="es-ES"/>
              </w:rPr>
              <w:t>.</w:t>
            </w:r>
          </w:p>
        </w:tc>
        <w:tc>
          <w:tcPr>
            <w:tcW w:w="2500" w:type="pct"/>
            <w:shd w:val="clear" w:color="auto" w:fill="auto"/>
          </w:tcPr>
          <w:p w14:paraId="6564F04A" w14:textId="528BA9DE" w:rsidR="00A4422A" w:rsidRPr="0006775C" w:rsidRDefault="00A4422A" w:rsidP="00F25678">
            <w:pPr>
              <w:pStyle w:val="AODocTxt"/>
            </w:pPr>
            <w:r w:rsidRPr="0006775C">
              <w:t xml:space="preserve">Likewise, the entities listed in sections </w:t>
            </w:r>
            <w:r w:rsidR="00236E5A">
              <w:fldChar w:fldCharType="begin"/>
            </w:r>
            <w:r w:rsidR="00236E5A">
              <w:instrText xml:space="preserve"> REF _Ref86085628 \r \h </w:instrText>
            </w:r>
            <w:r w:rsidR="00236E5A">
              <w:fldChar w:fldCharType="separate"/>
            </w:r>
            <w:r w:rsidR="00515A5E">
              <w:t>(3)</w:t>
            </w:r>
            <w:r w:rsidR="00236E5A">
              <w:fldChar w:fldCharType="end"/>
            </w:r>
            <w:r w:rsidR="00C02DB7">
              <w:t xml:space="preserve"> </w:t>
            </w:r>
            <w:r>
              <w:t>and</w:t>
            </w:r>
            <w:r w:rsidRPr="009F1BA8">
              <w:t xml:space="preserve"> </w:t>
            </w:r>
            <w:r>
              <w:t xml:space="preserve">from </w:t>
            </w:r>
            <w:r w:rsidR="00236E5A">
              <w:rPr>
                <w:lang w:val="es-ES"/>
              </w:rPr>
              <w:fldChar w:fldCharType="begin"/>
            </w:r>
            <w:r w:rsidR="00236E5A">
              <w:instrText xml:space="preserve"> REF _Ref99449152 \r \h </w:instrText>
            </w:r>
            <w:r w:rsidR="00236E5A">
              <w:rPr>
                <w:lang w:val="es-ES"/>
              </w:rPr>
            </w:r>
            <w:r w:rsidR="00236E5A">
              <w:rPr>
                <w:lang w:val="es-ES"/>
              </w:rPr>
              <w:fldChar w:fldCharType="separate"/>
            </w:r>
            <w:r w:rsidR="00515A5E">
              <w:t>(5)</w:t>
            </w:r>
            <w:r w:rsidR="00236E5A">
              <w:rPr>
                <w:lang w:val="es-ES"/>
              </w:rPr>
              <w:fldChar w:fldCharType="end"/>
            </w:r>
            <w:r>
              <w:t xml:space="preserve"> to</w:t>
            </w:r>
            <w:r w:rsidR="00F25678" w:rsidRPr="00F25678">
              <w:t xml:space="preserve"> (1</w:t>
            </w:r>
            <w:r w:rsidR="00F25678">
              <w:t>0)</w:t>
            </w:r>
            <w:r>
              <w:t xml:space="preserve"> </w:t>
            </w:r>
            <w:r w:rsidRPr="0006775C">
              <w:t xml:space="preserve">above (included) as the </w:t>
            </w:r>
            <w:r>
              <w:t>initial MRF</w:t>
            </w:r>
            <w:r w:rsidRPr="0006775C">
              <w:t xml:space="preserve"> lenders under the </w:t>
            </w:r>
            <w:r w:rsidRPr="0006775C">
              <w:rPr>
                <w:lang w:eastAsia="en-GB" w:bidi="en-GB"/>
              </w:rPr>
              <w:t>Initial Maintenance Reserve Facility Agreement</w:t>
            </w:r>
            <w:r w:rsidRPr="0006775C">
              <w:t xml:space="preserve"> (as this term is defined below), together with any of its assignees and transferees or entities holding such position from time to time thereunder, will be jointly referred to as the </w:t>
            </w:r>
            <w:r w:rsidRPr="0006775C">
              <w:rPr>
                <w:b/>
              </w:rPr>
              <w:t>Initial MRF</w:t>
            </w:r>
            <w:r w:rsidRPr="0006775C">
              <w:t xml:space="preserve"> </w:t>
            </w:r>
            <w:r w:rsidRPr="0006775C">
              <w:rPr>
                <w:b/>
              </w:rPr>
              <w:t>Lenders</w:t>
            </w:r>
            <w:r w:rsidRPr="0006775C">
              <w:t xml:space="preserve">, and each of them as an </w:t>
            </w:r>
            <w:r w:rsidRPr="0006775C">
              <w:rPr>
                <w:b/>
              </w:rPr>
              <w:t>Initial MRF</w:t>
            </w:r>
            <w:r w:rsidRPr="0006775C">
              <w:t xml:space="preserve"> </w:t>
            </w:r>
            <w:r w:rsidRPr="0006775C">
              <w:rPr>
                <w:b/>
              </w:rPr>
              <w:t>Lender</w:t>
            </w:r>
            <w:r w:rsidRPr="0006775C">
              <w:t>.</w:t>
            </w:r>
          </w:p>
        </w:tc>
      </w:tr>
      <w:tr w:rsidR="00A4422A" w:rsidRPr="0006775C" w14:paraId="11641F6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2610594" w14:textId="2E666E8E" w:rsidR="00A4422A" w:rsidRPr="00ED4F04" w:rsidRDefault="00A4422A" w:rsidP="00F25678">
            <w:pPr>
              <w:pStyle w:val="AODocTxt"/>
              <w:rPr>
                <w:lang w:val="es-ES"/>
              </w:rPr>
            </w:pPr>
            <w:r>
              <w:rPr>
                <w:lang w:val="es-ES"/>
              </w:rPr>
              <w:t xml:space="preserve">Asimismo, las entidades enumeradas en los apartados </w:t>
            </w:r>
            <w:r w:rsidR="00236E5A">
              <w:rPr>
                <w:lang w:val="es-ES"/>
              </w:rPr>
              <w:fldChar w:fldCharType="begin"/>
            </w:r>
            <w:r w:rsidR="00236E5A">
              <w:rPr>
                <w:lang w:val="es-ES"/>
              </w:rPr>
              <w:instrText xml:space="preserve"> REF _Ref86085567 \r \h </w:instrText>
            </w:r>
            <w:r w:rsidR="00236E5A">
              <w:rPr>
                <w:lang w:val="es-ES"/>
              </w:rPr>
            </w:r>
            <w:r w:rsidR="00236E5A">
              <w:rPr>
                <w:lang w:val="es-ES"/>
              </w:rPr>
              <w:fldChar w:fldCharType="separate"/>
            </w:r>
            <w:r w:rsidR="00515A5E">
              <w:rPr>
                <w:lang w:val="es-ES"/>
              </w:rPr>
              <w:t>(3)</w:t>
            </w:r>
            <w:r w:rsidR="00236E5A">
              <w:rPr>
                <w:lang w:val="es-ES"/>
              </w:rPr>
              <w:fldChar w:fldCharType="end"/>
            </w:r>
            <w:r w:rsidR="00236E5A">
              <w:rPr>
                <w:lang w:val="es-ES"/>
              </w:rPr>
              <w:t xml:space="preserve"> y del </w:t>
            </w:r>
            <w:r w:rsidR="00236E5A">
              <w:rPr>
                <w:lang w:val="es-ES"/>
              </w:rPr>
              <w:fldChar w:fldCharType="begin"/>
            </w:r>
            <w:r w:rsidR="00236E5A">
              <w:rPr>
                <w:lang w:val="es-ES"/>
              </w:rPr>
              <w:instrText xml:space="preserve"> REF _Ref67050185 \r \h </w:instrText>
            </w:r>
            <w:r w:rsidR="00236E5A">
              <w:rPr>
                <w:lang w:val="es-ES"/>
              </w:rPr>
            </w:r>
            <w:r w:rsidR="00236E5A">
              <w:rPr>
                <w:lang w:val="es-ES"/>
              </w:rPr>
              <w:fldChar w:fldCharType="separate"/>
            </w:r>
            <w:r w:rsidR="00515A5E">
              <w:rPr>
                <w:lang w:val="es-ES"/>
              </w:rPr>
              <w:t>(5)</w:t>
            </w:r>
            <w:r w:rsidR="00236E5A">
              <w:rPr>
                <w:lang w:val="es-ES"/>
              </w:rPr>
              <w:fldChar w:fldCharType="end"/>
            </w:r>
            <w:r w:rsidR="00236E5A">
              <w:rPr>
                <w:lang w:val="es-ES"/>
              </w:rPr>
              <w:t xml:space="preserve"> al </w:t>
            </w:r>
            <w:r w:rsidR="00F25678">
              <w:rPr>
                <w:lang w:val="es-ES"/>
              </w:rPr>
              <w:t>(10)</w:t>
            </w:r>
            <w:r>
              <w:rPr>
                <w:lang w:val="es-ES"/>
              </w:rPr>
              <w:t xml:space="preserve"> anteriores (inclusive)</w:t>
            </w:r>
            <w:r w:rsidRPr="00E53971">
              <w:rPr>
                <w:lang w:val="es-ES"/>
              </w:rPr>
              <w:t xml:space="preserve"> en su condic</w:t>
            </w:r>
            <w:r>
              <w:rPr>
                <w:lang w:val="es-ES"/>
              </w:rPr>
              <w:t>ión de entidades financiadoras LF iniciales</w:t>
            </w:r>
            <w:r w:rsidRPr="00E53971">
              <w:rPr>
                <w:lang w:val="es-ES"/>
              </w:rPr>
              <w:t xml:space="preserve"> (</w:t>
            </w:r>
            <w:proofErr w:type="spellStart"/>
            <w:r>
              <w:rPr>
                <w:i/>
                <w:lang w:val="es-ES"/>
              </w:rPr>
              <w:t>Initial</w:t>
            </w:r>
            <w:proofErr w:type="spellEnd"/>
            <w:r>
              <w:rPr>
                <w:i/>
                <w:lang w:val="es-ES"/>
              </w:rPr>
              <w:t xml:space="preserve"> LF </w:t>
            </w:r>
            <w:proofErr w:type="spellStart"/>
            <w:r>
              <w:rPr>
                <w:i/>
                <w:lang w:val="es-ES"/>
              </w:rPr>
              <w:t>L</w:t>
            </w:r>
            <w:r w:rsidRPr="00E53971">
              <w:rPr>
                <w:i/>
                <w:lang w:val="es-ES"/>
              </w:rPr>
              <w:t>enders</w:t>
            </w:r>
            <w:proofErr w:type="spellEnd"/>
            <w:r>
              <w:rPr>
                <w:lang w:val="es-ES"/>
              </w:rPr>
              <w:t>) bajo el Contrato de Liquidez LF</w:t>
            </w:r>
            <w:r w:rsidRPr="00E53971">
              <w:rPr>
                <w:lang w:val="es-ES"/>
              </w:rPr>
              <w:t xml:space="preserve"> (tal y como este término se define a continuación), junto con cualquiera de sus cesionarios o aquellas entidades que en cada momento ostenten tal condición bajo el mismo, serán referidas conjuntamente como las </w:t>
            </w:r>
            <w:r w:rsidRPr="00E53971">
              <w:rPr>
                <w:b/>
                <w:lang w:val="es-ES"/>
              </w:rPr>
              <w:t>Entidades Financiadoras</w:t>
            </w:r>
            <w:r>
              <w:rPr>
                <w:b/>
                <w:lang w:val="es-ES"/>
              </w:rPr>
              <w:t xml:space="preserve"> Iniciales LF</w:t>
            </w:r>
            <w:r w:rsidRPr="00E53971">
              <w:rPr>
                <w:lang w:val="es-ES"/>
              </w:rPr>
              <w:t xml:space="preserve">, y cada una de ellas, una </w:t>
            </w:r>
            <w:r w:rsidRPr="00E53971">
              <w:rPr>
                <w:b/>
                <w:lang w:val="es-ES"/>
              </w:rPr>
              <w:t>Entidad Financiadora</w:t>
            </w:r>
            <w:r>
              <w:rPr>
                <w:b/>
                <w:lang w:val="es-ES"/>
              </w:rPr>
              <w:t xml:space="preserve"> Inicial LF</w:t>
            </w:r>
            <w:r w:rsidRPr="00E53971">
              <w:rPr>
                <w:lang w:val="es-ES"/>
              </w:rPr>
              <w:t>.</w:t>
            </w:r>
          </w:p>
        </w:tc>
        <w:tc>
          <w:tcPr>
            <w:tcW w:w="2500" w:type="pct"/>
            <w:shd w:val="clear" w:color="auto" w:fill="auto"/>
          </w:tcPr>
          <w:p w14:paraId="4F1FC8B8" w14:textId="3318EC1F" w:rsidR="00A4422A" w:rsidRPr="0006775C" w:rsidRDefault="00A4422A" w:rsidP="00F25678">
            <w:pPr>
              <w:pStyle w:val="AODocTxt"/>
            </w:pPr>
            <w:r w:rsidRPr="0006775C">
              <w:t xml:space="preserve">Likewise, the entities listed in sections </w:t>
            </w:r>
            <w:r w:rsidR="00236E5A">
              <w:fldChar w:fldCharType="begin"/>
            </w:r>
            <w:r w:rsidR="00236E5A">
              <w:instrText xml:space="preserve"> REF _Ref86085628 \r \h </w:instrText>
            </w:r>
            <w:r w:rsidR="00236E5A">
              <w:fldChar w:fldCharType="separate"/>
            </w:r>
            <w:r w:rsidR="00515A5E">
              <w:t>(3)</w:t>
            </w:r>
            <w:r w:rsidR="00236E5A">
              <w:fldChar w:fldCharType="end"/>
            </w:r>
            <w:r w:rsidR="00236E5A">
              <w:t xml:space="preserve"> and</w:t>
            </w:r>
            <w:r w:rsidR="00236E5A" w:rsidRPr="009F1BA8">
              <w:t xml:space="preserve"> </w:t>
            </w:r>
            <w:r w:rsidR="00236E5A">
              <w:t xml:space="preserve">from </w:t>
            </w:r>
            <w:r w:rsidR="00236E5A">
              <w:rPr>
                <w:lang w:val="es-ES"/>
              </w:rPr>
              <w:fldChar w:fldCharType="begin"/>
            </w:r>
            <w:r w:rsidR="00236E5A">
              <w:instrText xml:space="preserve"> REF _Ref99449152 \r \h </w:instrText>
            </w:r>
            <w:r w:rsidR="00236E5A">
              <w:rPr>
                <w:lang w:val="es-ES"/>
              </w:rPr>
            </w:r>
            <w:r w:rsidR="00236E5A">
              <w:rPr>
                <w:lang w:val="es-ES"/>
              </w:rPr>
              <w:fldChar w:fldCharType="separate"/>
            </w:r>
            <w:r w:rsidR="00515A5E">
              <w:t>(5)</w:t>
            </w:r>
            <w:r w:rsidR="00236E5A">
              <w:rPr>
                <w:lang w:val="es-ES"/>
              </w:rPr>
              <w:fldChar w:fldCharType="end"/>
            </w:r>
            <w:r w:rsidR="00236E5A">
              <w:t xml:space="preserve"> to</w:t>
            </w:r>
            <w:r w:rsidR="00236E5A" w:rsidRPr="009F1BA8">
              <w:t xml:space="preserve"> </w:t>
            </w:r>
            <w:r w:rsidR="00F25678" w:rsidRPr="00F25678">
              <w:t>(1</w:t>
            </w:r>
            <w:r w:rsidR="00F25678">
              <w:t>0)</w:t>
            </w:r>
            <w:r w:rsidRPr="0006775C">
              <w:t xml:space="preserve"> above (included) as the </w:t>
            </w:r>
            <w:r>
              <w:t>initial</w:t>
            </w:r>
            <w:r w:rsidRPr="0006775C">
              <w:t xml:space="preserve"> lenders under the </w:t>
            </w:r>
            <w:r w:rsidRPr="0006775C">
              <w:rPr>
                <w:lang w:eastAsia="en-GB" w:bidi="en-GB"/>
              </w:rPr>
              <w:t>Initial Liquidity Facility Agreement</w:t>
            </w:r>
            <w:r w:rsidRPr="0006775C">
              <w:t xml:space="preserve"> (as this term is defined below), together with any of its assignees and transferees or entities holding such position from time to time thereunder, will be jointly referred to as the </w:t>
            </w:r>
            <w:r w:rsidRPr="0006775C">
              <w:rPr>
                <w:b/>
              </w:rPr>
              <w:t xml:space="preserve">Initial </w:t>
            </w:r>
            <w:r>
              <w:rPr>
                <w:b/>
              </w:rPr>
              <w:t>L</w:t>
            </w:r>
            <w:r w:rsidRPr="0006775C">
              <w:rPr>
                <w:b/>
              </w:rPr>
              <w:t>F</w:t>
            </w:r>
            <w:r w:rsidRPr="0006775C">
              <w:t xml:space="preserve"> </w:t>
            </w:r>
            <w:r w:rsidRPr="0006775C">
              <w:rPr>
                <w:b/>
              </w:rPr>
              <w:t>Lenders</w:t>
            </w:r>
            <w:r w:rsidRPr="0006775C">
              <w:t xml:space="preserve">, and each of them as an </w:t>
            </w:r>
            <w:r w:rsidRPr="0006775C">
              <w:rPr>
                <w:b/>
              </w:rPr>
              <w:t xml:space="preserve">Initial </w:t>
            </w:r>
            <w:r>
              <w:rPr>
                <w:b/>
              </w:rPr>
              <w:t>L</w:t>
            </w:r>
            <w:r w:rsidRPr="0006775C">
              <w:rPr>
                <w:b/>
              </w:rPr>
              <w:t>F</w:t>
            </w:r>
            <w:r w:rsidRPr="0006775C">
              <w:t xml:space="preserve"> </w:t>
            </w:r>
            <w:r w:rsidRPr="0006775C">
              <w:rPr>
                <w:b/>
              </w:rPr>
              <w:t>Lender</w:t>
            </w:r>
            <w:r w:rsidRPr="0006775C">
              <w:t>.</w:t>
            </w:r>
          </w:p>
        </w:tc>
      </w:tr>
      <w:tr w:rsidR="00A4422A" w:rsidRPr="00847DF9" w14:paraId="7528280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9155CC1" w14:textId="77777777" w:rsidR="00A4422A" w:rsidRPr="00847DF9" w:rsidRDefault="00A4422A" w:rsidP="00B53048">
            <w:pPr>
              <w:pStyle w:val="AODocTxt"/>
              <w:rPr>
                <w:b/>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539423A4" w14:textId="77777777" w:rsidR="00A4422A" w:rsidRPr="00847DF9" w:rsidRDefault="00A4422A" w:rsidP="00B53048">
            <w:pPr>
              <w:pStyle w:val="AODocTxt"/>
              <w:rPr>
                <w:b/>
              </w:rPr>
            </w:pPr>
            <w:r w:rsidRPr="00847DF9">
              <w:rPr>
                <w:b/>
              </w:rPr>
              <w:t>On the other hand,</w:t>
            </w:r>
          </w:p>
        </w:tc>
      </w:tr>
      <w:tr w:rsidR="00A4422A" w:rsidRPr="0079707D" w14:paraId="22EF532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093E856" w14:textId="4DAFF0BB" w:rsidR="00A4422A" w:rsidRPr="0079707D" w:rsidRDefault="00A4422A" w:rsidP="00A4422A">
            <w:pPr>
              <w:pStyle w:val="AO1"/>
              <w:rPr>
                <w:b/>
              </w:rPr>
            </w:pPr>
            <w:bookmarkStart w:id="25" w:name="_Ref67050308"/>
            <w:r w:rsidRPr="00121CA6">
              <w:rPr>
                <w:b/>
              </w:rPr>
              <w:t>STANDARD LI</w:t>
            </w:r>
            <w:r>
              <w:rPr>
                <w:b/>
              </w:rPr>
              <w:t>FE INVESTMENTS SECURE CREDIT LP</w:t>
            </w:r>
            <w:bookmarkEnd w:id="25"/>
          </w:p>
        </w:tc>
        <w:tc>
          <w:tcPr>
            <w:tcW w:w="2500" w:type="pct"/>
            <w:shd w:val="clear" w:color="auto" w:fill="auto"/>
          </w:tcPr>
          <w:p w14:paraId="6544FEC9" w14:textId="77777777" w:rsidR="00A4422A" w:rsidRPr="0079707D" w:rsidRDefault="00A4422A" w:rsidP="007E2625">
            <w:pPr>
              <w:pStyle w:val="AODocTxt"/>
              <w:numPr>
                <w:ilvl w:val="0"/>
                <w:numId w:val="33"/>
              </w:numPr>
              <w:ind w:hanging="720"/>
              <w:rPr>
                <w:b/>
              </w:rPr>
            </w:pPr>
            <w:bookmarkStart w:id="26" w:name="_Ref99449223"/>
            <w:r w:rsidRPr="00121CA6">
              <w:rPr>
                <w:b/>
              </w:rPr>
              <w:t>STANDARD LI</w:t>
            </w:r>
            <w:r>
              <w:rPr>
                <w:b/>
              </w:rPr>
              <w:t>FE INVESTMENTS SECURE CREDIT LP</w:t>
            </w:r>
            <w:bookmarkEnd w:id="26"/>
          </w:p>
        </w:tc>
      </w:tr>
      <w:tr w:rsidR="00A4422A" w:rsidRPr="0079707D" w14:paraId="0B123CD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2564C8C" w14:textId="77777777" w:rsidR="00A4422A" w:rsidRPr="0079707D" w:rsidRDefault="00A4422A" w:rsidP="00A4422A">
            <w:pPr>
              <w:pStyle w:val="AO1"/>
              <w:rPr>
                <w:b/>
              </w:rPr>
            </w:pPr>
            <w:r>
              <w:rPr>
                <w:b/>
              </w:rPr>
              <w:t>STANDARD LIFE ASSURANCE LIMITED</w:t>
            </w:r>
          </w:p>
        </w:tc>
        <w:tc>
          <w:tcPr>
            <w:tcW w:w="2500" w:type="pct"/>
            <w:shd w:val="clear" w:color="auto" w:fill="auto"/>
          </w:tcPr>
          <w:p w14:paraId="53C36BFA" w14:textId="77777777" w:rsidR="00A4422A" w:rsidRPr="0079707D" w:rsidRDefault="00A4422A" w:rsidP="007E2625">
            <w:pPr>
              <w:pStyle w:val="AODocTxt"/>
              <w:numPr>
                <w:ilvl w:val="0"/>
                <w:numId w:val="33"/>
              </w:numPr>
              <w:ind w:hanging="720"/>
              <w:rPr>
                <w:b/>
              </w:rPr>
            </w:pPr>
            <w:r>
              <w:rPr>
                <w:b/>
              </w:rPr>
              <w:t>STANDARD LIFE ASSURANCE LIMITED</w:t>
            </w:r>
          </w:p>
        </w:tc>
      </w:tr>
      <w:tr w:rsidR="00A4422A" w:rsidRPr="0079707D" w14:paraId="3B86559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5B5214E" w14:textId="77777777" w:rsidR="00A4422A" w:rsidRPr="0079707D" w:rsidRDefault="00A4422A" w:rsidP="00A4422A">
            <w:pPr>
              <w:pStyle w:val="AO1"/>
              <w:rPr>
                <w:b/>
              </w:rPr>
            </w:pPr>
            <w:r w:rsidRPr="00121CA6">
              <w:rPr>
                <w:b/>
              </w:rPr>
              <w:t>AV</w:t>
            </w:r>
            <w:r>
              <w:rPr>
                <w:b/>
              </w:rPr>
              <w:t>IVA LIFE &amp; PENSIONS IRELAND DAC</w:t>
            </w:r>
          </w:p>
        </w:tc>
        <w:tc>
          <w:tcPr>
            <w:tcW w:w="2500" w:type="pct"/>
            <w:shd w:val="clear" w:color="auto" w:fill="auto"/>
          </w:tcPr>
          <w:p w14:paraId="20CB8A53" w14:textId="77777777" w:rsidR="00A4422A" w:rsidRPr="0079707D" w:rsidRDefault="00A4422A" w:rsidP="007E2625">
            <w:pPr>
              <w:pStyle w:val="AODocTxt"/>
              <w:numPr>
                <w:ilvl w:val="0"/>
                <w:numId w:val="33"/>
              </w:numPr>
              <w:ind w:hanging="720"/>
              <w:rPr>
                <w:b/>
              </w:rPr>
            </w:pPr>
            <w:r w:rsidRPr="00121CA6">
              <w:rPr>
                <w:b/>
              </w:rPr>
              <w:t>AVIVA LIFE &amp; PENSIONS IRELAN</w:t>
            </w:r>
            <w:r>
              <w:rPr>
                <w:b/>
              </w:rPr>
              <w:t>D DAC</w:t>
            </w:r>
          </w:p>
        </w:tc>
      </w:tr>
      <w:tr w:rsidR="00A4422A" w:rsidRPr="0079707D" w14:paraId="14641AF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B8E479E" w14:textId="77777777" w:rsidR="00A4422A" w:rsidRPr="0079707D" w:rsidRDefault="00A4422A" w:rsidP="00A4422A">
            <w:pPr>
              <w:pStyle w:val="AO1"/>
              <w:rPr>
                <w:b/>
              </w:rPr>
            </w:pPr>
            <w:r w:rsidRPr="00121CA6">
              <w:rPr>
                <w:b/>
              </w:rPr>
              <w:lastRenderedPageBreak/>
              <w:t>AVIVA INVESTORS MULTI-ASSET ALTERNATIVE INCOME S.A. ACTING FOR T</w:t>
            </w:r>
            <w:r>
              <w:rPr>
                <w:b/>
              </w:rPr>
              <w:t>HE ACCOUNT OF ITS COMPARTMENT 1</w:t>
            </w:r>
          </w:p>
        </w:tc>
        <w:tc>
          <w:tcPr>
            <w:tcW w:w="2500" w:type="pct"/>
            <w:shd w:val="clear" w:color="auto" w:fill="auto"/>
          </w:tcPr>
          <w:p w14:paraId="0C5E3000" w14:textId="77777777" w:rsidR="00A4422A" w:rsidRPr="0079707D" w:rsidRDefault="00A4422A" w:rsidP="007E2625">
            <w:pPr>
              <w:pStyle w:val="AODocTxt"/>
              <w:numPr>
                <w:ilvl w:val="0"/>
                <w:numId w:val="33"/>
              </w:numPr>
              <w:ind w:hanging="720"/>
              <w:rPr>
                <w:b/>
              </w:rPr>
            </w:pPr>
            <w:r w:rsidRPr="00121CA6">
              <w:rPr>
                <w:b/>
              </w:rPr>
              <w:t>AVIVA INVESTORS MULTI-ASSET ALTERNATIVE INCOME S.A. ACTING FOR T</w:t>
            </w:r>
            <w:r>
              <w:rPr>
                <w:b/>
              </w:rPr>
              <w:t>HE ACCOUNT OF ITS COMPARTMENT 1</w:t>
            </w:r>
          </w:p>
        </w:tc>
      </w:tr>
      <w:tr w:rsidR="00A4422A" w:rsidRPr="0079707D" w14:paraId="756B85D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F6A1FBC" w14:textId="77777777" w:rsidR="00A4422A" w:rsidRPr="0079707D" w:rsidRDefault="00A4422A" w:rsidP="00A4422A">
            <w:pPr>
              <w:pStyle w:val="AO1"/>
              <w:rPr>
                <w:b/>
              </w:rPr>
            </w:pPr>
            <w:r w:rsidRPr="00121CA6">
              <w:rPr>
                <w:b/>
              </w:rPr>
              <w:t>AVIVA INVESTORS ALTERNATIVES S.A. ACTING FOR T</w:t>
            </w:r>
            <w:r>
              <w:rPr>
                <w:b/>
              </w:rPr>
              <w:t>HE ACCOUNT OF ITS COMPARTMENT 1</w:t>
            </w:r>
          </w:p>
        </w:tc>
        <w:tc>
          <w:tcPr>
            <w:tcW w:w="2500" w:type="pct"/>
            <w:shd w:val="clear" w:color="auto" w:fill="auto"/>
          </w:tcPr>
          <w:p w14:paraId="05505222" w14:textId="77777777" w:rsidR="00A4422A" w:rsidRPr="0079707D" w:rsidRDefault="00A4422A" w:rsidP="007E2625">
            <w:pPr>
              <w:pStyle w:val="AODocTxt"/>
              <w:numPr>
                <w:ilvl w:val="0"/>
                <w:numId w:val="33"/>
              </w:numPr>
              <w:ind w:hanging="720"/>
              <w:rPr>
                <w:b/>
              </w:rPr>
            </w:pPr>
            <w:r w:rsidRPr="00121CA6">
              <w:rPr>
                <w:b/>
              </w:rPr>
              <w:t>AVIVA INVESTORS ALTERNATIVES S.A. ACTING FOR T</w:t>
            </w:r>
            <w:r>
              <w:rPr>
                <w:b/>
              </w:rPr>
              <w:t>HE ACCOUNT OF ITS COMPARTMENT 1</w:t>
            </w:r>
          </w:p>
        </w:tc>
      </w:tr>
      <w:tr w:rsidR="00A4422A" w:rsidRPr="0079707D" w14:paraId="5D94ED6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8FB733C" w14:textId="77777777" w:rsidR="00A4422A" w:rsidRPr="0079707D" w:rsidRDefault="00A4422A" w:rsidP="00A4422A">
            <w:pPr>
              <w:pStyle w:val="AO1"/>
              <w:rPr>
                <w:b/>
              </w:rPr>
            </w:pPr>
            <w:r w:rsidRPr="00121CA6">
              <w:rPr>
                <w:b/>
              </w:rPr>
              <w:t>SAUL TRUSTEE COMPANY AS TRUSTEE OF THE SUPERANNUATION ARRANGEMENTS OF THE UNIVERSITY OF LONDON (S</w:t>
            </w:r>
            <w:r>
              <w:rPr>
                <w:b/>
              </w:rPr>
              <w:t>AUL)</w:t>
            </w:r>
          </w:p>
        </w:tc>
        <w:tc>
          <w:tcPr>
            <w:tcW w:w="2500" w:type="pct"/>
            <w:shd w:val="clear" w:color="auto" w:fill="auto"/>
          </w:tcPr>
          <w:p w14:paraId="218099B1" w14:textId="77777777" w:rsidR="00A4422A" w:rsidRPr="0079707D" w:rsidRDefault="00A4422A" w:rsidP="007E2625">
            <w:pPr>
              <w:pStyle w:val="AODocTxt"/>
              <w:numPr>
                <w:ilvl w:val="0"/>
                <w:numId w:val="33"/>
              </w:numPr>
              <w:ind w:hanging="720"/>
              <w:rPr>
                <w:b/>
              </w:rPr>
            </w:pPr>
            <w:r w:rsidRPr="00121CA6">
              <w:rPr>
                <w:b/>
              </w:rPr>
              <w:t>SAUL TRUSTEE COMPANY AS TRUSTEE OF THE SUPERANNUATION ARRANGEMENTS OF THE UN</w:t>
            </w:r>
            <w:r>
              <w:rPr>
                <w:b/>
              </w:rPr>
              <w:t>IVERSITY OF LONDON (SAUL)</w:t>
            </w:r>
          </w:p>
        </w:tc>
      </w:tr>
      <w:tr w:rsidR="00A4422A" w:rsidRPr="0079707D" w14:paraId="7291E06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5652512" w14:textId="77777777" w:rsidR="00A4422A" w:rsidRPr="0079707D" w:rsidRDefault="00A4422A" w:rsidP="00A4422A">
            <w:pPr>
              <w:pStyle w:val="AO1"/>
              <w:rPr>
                <w:b/>
              </w:rPr>
            </w:pPr>
            <w:r w:rsidRPr="00121CA6">
              <w:rPr>
                <w:b/>
              </w:rPr>
              <w:t>AXA FRANCE VIE, ACTING THROUGH AND IN RE</w:t>
            </w:r>
            <w:r>
              <w:rPr>
                <w:b/>
              </w:rPr>
              <w:t>SPECT OF ITS SEGMENT PREVOYANCE</w:t>
            </w:r>
          </w:p>
        </w:tc>
        <w:tc>
          <w:tcPr>
            <w:tcW w:w="2500" w:type="pct"/>
            <w:shd w:val="clear" w:color="auto" w:fill="auto"/>
          </w:tcPr>
          <w:p w14:paraId="044BFF68" w14:textId="77777777" w:rsidR="00A4422A" w:rsidRPr="0079707D" w:rsidRDefault="00A4422A" w:rsidP="007E2625">
            <w:pPr>
              <w:pStyle w:val="AODocTxt"/>
              <w:numPr>
                <w:ilvl w:val="0"/>
                <w:numId w:val="33"/>
              </w:numPr>
              <w:ind w:hanging="720"/>
              <w:rPr>
                <w:b/>
              </w:rPr>
            </w:pPr>
            <w:r w:rsidRPr="00121CA6">
              <w:rPr>
                <w:b/>
              </w:rPr>
              <w:t>AXA FRANCE VIE, ACTING THROUGH AND IN RE</w:t>
            </w:r>
            <w:r>
              <w:rPr>
                <w:b/>
              </w:rPr>
              <w:t>SPECT OF ITS SEGMENT PREVOYANCE</w:t>
            </w:r>
          </w:p>
        </w:tc>
      </w:tr>
      <w:tr w:rsidR="00A4422A" w:rsidRPr="0079707D" w14:paraId="5CE6E8D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15B4615" w14:textId="77777777" w:rsidR="00A4422A" w:rsidRPr="0079707D" w:rsidRDefault="00A4422A" w:rsidP="00A4422A">
            <w:pPr>
              <w:pStyle w:val="AO1"/>
              <w:rPr>
                <w:b/>
              </w:rPr>
            </w:pPr>
            <w:r w:rsidRPr="00121CA6">
              <w:rPr>
                <w:b/>
              </w:rPr>
              <w:t>AXA FRANCE VIE, ACTING THROUGH AN</w:t>
            </w:r>
            <w:r>
              <w:rPr>
                <w:b/>
              </w:rPr>
              <w:t>D IN RESPECT OF ITS SEGMENT AGR</w:t>
            </w:r>
          </w:p>
        </w:tc>
        <w:tc>
          <w:tcPr>
            <w:tcW w:w="2500" w:type="pct"/>
            <w:shd w:val="clear" w:color="auto" w:fill="auto"/>
          </w:tcPr>
          <w:p w14:paraId="059C6BF9" w14:textId="77777777" w:rsidR="00A4422A" w:rsidRPr="0079707D" w:rsidRDefault="00A4422A" w:rsidP="007E2625">
            <w:pPr>
              <w:pStyle w:val="AODocTxt"/>
              <w:numPr>
                <w:ilvl w:val="0"/>
                <w:numId w:val="33"/>
              </w:numPr>
              <w:ind w:hanging="720"/>
              <w:rPr>
                <w:b/>
              </w:rPr>
            </w:pPr>
            <w:r w:rsidRPr="00121CA6">
              <w:rPr>
                <w:b/>
              </w:rPr>
              <w:t>AXA FRANCE VIE, ACTING THROUGH AN</w:t>
            </w:r>
            <w:r>
              <w:rPr>
                <w:b/>
              </w:rPr>
              <w:t>D IN RESPECT OF ITS SEGMENT AGR</w:t>
            </w:r>
          </w:p>
        </w:tc>
      </w:tr>
      <w:tr w:rsidR="00A4422A" w:rsidRPr="0079707D" w14:paraId="4B84224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17FD248" w14:textId="77777777" w:rsidR="00A4422A" w:rsidRPr="0079707D" w:rsidRDefault="00A4422A" w:rsidP="00A4422A">
            <w:pPr>
              <w:pStyle w:val="AO1"/>
              <w:rPr>
                <w:b/>
              </w:rPr>
            </w:pPr>
            <w:r w:rsidRPr="00121CA6">
              <w:rPr>
                <w:b/>
              </w:rPr>
              <w:t>AXA FRANCE VIE, ACTING THROUGH AND IN RES</w:t>
            </w:r>
            <w:r>
              <w:rPr>
                <w:b/>
              </w:rPr>
              <w:t>PECT OF ITS SEGMENT FONDS LIBRE</w:t>
            </w:r>
          </w:p>
        </w:tc>
        <w:tc>
          <w:tcPr>
            <w:tcW w:w="2500" w:type="pct"/>
            <w:shd w:val="clear" w:color="auto" w:fill="auto"/>
          </w:tcPr>
          <w:p w14:paraId="3FB2DAE4" w14:textId="77777777" w:rsidR="00A4422A" w:rsidRPr="0079707D" w:rsidRDefault="00A4422A" w:rsidP="007E2625">
            <w:pPr>
              <w:pStyle w:val="AODocTxt"/>
              <w:numPr>
                <w:ilvl w:val="0"/>
                <w:numId w:val="33"/>
              </w:numPr>
              <w:ind w:hanging="720"/>
              <w:rPr>
                <w:b/>
              </w:rPr>
            </w:pPr>
            <w:r w:rsidRPr="00121CA6">
              <w:rPr>
                <w:b/>
              </w:rPr>
              <w:t>AXA FRANCE VIE, ACTING THROUGH AND IN RES</w:t>
            </w:r>
            <w:r>
              <w:rPr>
                <w:b/>
              </w:rPr>
              <w:t>PECT OF ITS SEGMENT FONDS LIBRE</w:t>
            </w:r>
          </w:p>
        </w:tc>
      </w:tr>
      <w:tr w:rsidR="00A4422A" w:rsidRPr="0079707D" w14:paraId="2C53ADC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72432F9" w14:textId="77777777" w:rsidR="00A4422A" w:rsidRPr="0079707D" w:rsidRDefault="00A4422A" w:rsidP="00A4422A">
            <w:pPr>
              <w:pStyle w:val="AO1"/>
              <w:rPr>
                <w:b/>
              </w:rPr>
            </w:pPr>
            <w:r w:rsidRPr="00121CA6">
              <w:rPr>
                <w:b/>
              </w:rPr>
              <w:t>AXA FRANCE VIE, ACTING THROUGH AND IN RESPECT OF ITS SEGMENT PRUDENT</w:t>
            </w:r>
          </w:p>
        </w:tc>
        <w:tc>
          <w:tcPr>
            <w:tcW w:w="2500" w:type="pct"/>
            <w:shd w:val="clear" w:color="auto" w:fill="auto"/>
          </w:tcPr>
          <w:p w14:paraId="32C435E0" w14:textId="77777777" w:rsidR="00A4422A" w:rsidRPr="0079707D" w:rsidRDefault="00A4422A" w:rsidP="007E2625">
            <w:pPr>
              <w:pStyle w:val="AODocTxt"/>
              <w:numPr>
                <w:ilvl w:val="0"/>
                <w:numId w:val="33"/>
              </w:numPr>
              <w:ind w:hanging="720"/>
              <w:rPr>
                <w:b/>
              </w:rPr>
            </w:pPr>
            <w:r w:rsidRPr="00121CA6">
              <w:rPr>
                <w:b/>
              </w:rPr>
              <w:t>AXA FRANCE VIE, ACTING THROUGH AND IN</w:t>
            </w:r>
            <w:r>
              <w:rPr>
                <w:b/>
              </w:rPr>
              <w:t xml:space="preserve"> RESPECT OF ITS SEGMENT PRUDENT</w:t>
            </w:r>
          </w:p>
        </w:tc>
      </w:tr>
      <w:tr w:rsidR="00A4422A" w:rsidRPr="0079707D" w14:paraId="5CF224E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13EE8F0" w14:textId="77777777" w:rsidR="00A4422A" w:rsidRPr="0079707D" w:rsidRDefault="00A4422A" w:rsidP="00A4422A">
            <w:pPr>
              <w:pStyle w:val="AO1"/>
              <w:rPr>
                <w:b/>
              </w:rPr>
            </w:pPr>
            <w:r w:rsidRPr="00121CA6">
              <w:rPr>
                <w:b/>
              </w:rPr>
              <w:t>AXA FRANCE VIE, ACTING THROUGH AND IN RES</w:t>
            </w:r>
            <w:r>
              <w:rPr>
                <w:b/>
              </w:rPr>
              <w:t>PECT OF ITS SEGMENT OPPORTUNITÉ</w:t>
            </w:r>
          </w:p>
        </w:tc>
        <w:tc>
          <w:tcPr>
            <w:tcW w:w="2500" w:type="pct"/>
            <w:shd w:val="clear" w:color="auto" w:fill="auto"/>
          </w:tcPr>
          <w:p w14:paraId="057B0EC4" w14:textId="77777777" w:rsidR="00A4422A" w:rsidRPr="0079707D" w:rsidRDefault="00A4422A" w:rsidP="007E2625">
            <w:pPr>
              <w:pStyle w:val="AODocTxt"/>
              <w:numPr>
                <w:ilvl w:val="0"/>
                <w:numId w:val="33"/>
              </w:numPr>
              <w:ind w:hanging="720"/>
              <w:rPr>
                <w:b/>
              </w:rPr>
            </w:pPr>
            <w:r w:rsidRPr="00121CA6">
              <w:rPr>
                <w:b/>
              </w:rPr>
              <w:t>AXA FRANCE VIE, ACTING THROUGH AND IN RES</w:t>
            </w:r>
            <w:r>
              <w:rPr>
                <w:b/>
              </w:rPr>
              <w:t>PECT OF ITS SEGMENT OPPORTUNITÉ</w:t>
            </w:r>
          </w:p>
        </w:tc>
      </w:tr>
      <w:tr w:rsidR="00A4422A" w:rsidRPr="0079707D" w14:paraId="61324CD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07FB359" w14:textId="77777777" w:rsidR="00A4422A" w:rsidRPr="0079707D" w:rsidRDefault="00A4422A" w:rsidP="00A4422A">
            <w:pPr>
              <w:pStyle w:val="AO1"/>
              <w:rPr>
                <w:b/>
              </w:rPr>
            </w:pPr>
            <w:r w:rsidRPr="00121CA6">
              <w:rPr>
                <w:b/>
              </w:rPr>
              <w:t>COMPARTMENT</w:t>
            </w:r>
            <w:r>
              <w:rPr>
                <w:b/>
              </w:rPr>
              <w:t xml:space="preserve"> INFRASTRUCTURE 1 OF BABEL FCT </w:t>
            </w:r>
          </w:p>
        </w:tc>
        <w:tc>
          <w:tcPr>
            <w:tcW w:w="2500" w:type="pct"/>
            <w:shd w:val="clear" w:color="auto" w:fill="auto"/>
          </w:tcPr>
          <w:p w14:paraId="4E1044F5" w14:textId="77777777" w:rsidR="00A4422A" w:rsidRPr="0079707D" w:rsidRDefault="00A4422A" w:rsidP="007E2625">
            <w:pPr>
              <w:pStyle w:val="AODocTxt"/>
              <w:numPr>
                <w:ilvl w:val="0"/>
                <w:numId w:val="33"/>
              </w:numPr>
              <w:ind w:hanging="720"/>
              <w:rPr>
                <w:b/>
              </w:rPr>
            </w:pPr>
            <w:r w:rsidRPr="00121CA6">
              <w:rPr>
                <w:b/>
              </w:rPr>
              <w:t>COMPARTMENT</w:t>
            </w:r>
            <w:r>
              <w:rPr>
                <w:b/>
              </w:rPr>
              <w:t xml:space="preserve"> INFRASTRUCTURE 1 OF BABEL FCT </w:t>
            </w:r>
          </w:p>
        </w:tc>
      </w:tr>
      <w:tr w:rsidR="00A4422A" w:rsidRPr="0079707D" w14:paraId="40DED98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1BB764D" w14:textId="77777777" w:rsidR="00A4422A" w:rsidRPr="0079707D" w:rsidRDefault="00A4422A" w:rsidP="00A4422A">
            <w:pPr>
              <w:pStyle w:val="AO1"/>
              <w:rPr>
                <w:b/>
              </w:rPr>
            </w:pPr>
            <w:r>
              <w:rPr>
                <w:b/>
              </w:rPr>
              <w:t>AXA FRANCE IARD</w:t>
            </w:r>
          </w:p>
        </w:tc>
        <w:tc>
          <w:tcPr>
            <w:tcW w:w="2500" w:type="pct"/>
            <w:shd w:val="clear" w:color="auto" w:fill="auto"/>
          </w:tcPr>
          <w:p w14:paraId="6FB654C4" w14:textId="77777777" w:rsidR="00A4422A" w:rsidRPr="0079707D" w:rsidRDefault="00A4422A" w:rsidP="007E2625">
            <w:pPr>
              <w:pStyle w:val="AODocTxt"/>
              <w:numPr>
                <w:ilvl w:val="0"/>
                <w:numId w:val="33"/>
              </w:numPr>
              <w:ind w:hanging="720"/>
              <w:rPr>
                <w:b/>
              </w:rPr>
            </w:pPr>
            <w:r>
              <w:rPr>
                <w:b/>
              </w:rPr>
              <w:t>AXA FRANCE IARD</w:t>
            </w:r>
          </w:p>
        </w:tc>
      </w:tr>
      <w:tr w:rsidR="00A4422A" w:rsidRPr="0079707D" w14:paraId="45D5FBC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04B6F99" w14:textId="77777777" w:rsidR="00A4422A" w:rsidRPr="0079707D" w:rsidRDefault="00A4422A" w:rsidP="00A4422A">
            <w:pPr>
              <w:pStyle w:val="AO1"/>
              <w:rPr>
                <w:b/>
              </w:rPr>
            </w:pPr>
            <w:r>
              <w:rPr>
                <w:b/>
              </w:rPr>
              <w:t>AXA ASSURANCE IARD MUTUELLE</w:t>
            </w:r>
          </w:p>
        </w:tc>
        <w:tc>
          <w:tcPr>
            <w:tcW w:w="2500" w:type="pct"/>
            <w:shd w:val="clear" w:color="auto" w:fill="auto"/>
          </w:tcPr>
          <w:p w14:paraId="290527D6" w14:textId="77777777" w:rsidR="00A4422A" w:rsidRPr="0079707D" w:rsidRDefault="00A4422A" w:rsidP="007E2625">
            <w:pPr>
              <w:pStyle w:val="AODocTxt"/>
              <w:numPr>
                <w:ilvl w:val="0"/>
                <w:numId w:val="33"/>
              </w:numPr>
              <w:ind w:hanging="720"/>
              <w:rPr>
                <w:b/>
              </w:rPr>
            </w:pPr>
            <w:r>
              <w:rPr>
                <w:b/>
              </w:rPr>
              <w:t>AXA ASSURANCE IARD MUTUELLE</w:t>
            </w:r>
          </w:p>
        </w:tc>
      </w:tr>
      <w:tr w:rsidR="00A4422A" w:rsidRPr="0079707D" w14:paraId="7116EBE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D28121A" w14:textId="77777777" w:rsidR="00A4422A" w:rsidRPr="0079707D" w:rsidRDefault="00A4422A" w:rsidP="00A4422A">
            <w:pPr>
              <w:pStyle w:val="AO1"/>
              <w:rPr>
                <w:b/>
              </w:rPr>
            </w:pPr>
            <w:r w:rsidRPr="00121CA6">
              <w:rPr>
                <w:b/>
              </w:rPr>
              <w:t>AX</w:t>
            </w:r>
            <w:r>
              <w:rPr>
                <w:b/>
              </w:rPr>
              <w:t>A CORPORATE SOLUTIONS ASSURANCE</w:t>
            </w:r>
          </w:p>
        </w:tc>
        <w:tc>
          <w:tcPr>
            <w:tcW w:w="2500" w:type="pct"/>
            <w:shd w:val="clear" w:color="auto" w:fill="auto"/>
          </w:tcPr>
          <w:p w14:paraId="454B3401" w14:textId="77777777" w:rsidR="00A4422A" w:rsidRPr="0079707D" w:rsidRDefault="00A4422A" w:rsidP="007E2625">
            <w:pPr>
              <w:pStyle w:val="AODocTxt"/>
              <w:numPr>
                <w:ilvl w:val="0"/>
                <w:numId w:val="33"/>
              </w:numPr>
              <w:ind w:hanging="720"/>
              <w:rPr>
                <w:b/>
              </w:rPr>
            </w:pPr>
            <w:r w:rsidRPr="00121CA6">
              <w:rPr>
                <w:b/>
              </w:rPr>
              <w:t>AX</w:t>
            </w:r>
            <w:r>
              <w:rPr>
                <w:b/>
              </w:rPr>
              <w:t>A CORPORATE SOLUTIONS ASSURANCE</w:t>
            </w:r>
          </w:p>
        </w:tc>
      </w:tr>
      <w:tr w:rsidR="00A4422A" w:rsidRPr="0079707D" w14:paraId="487B755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765833F" w14:textId="77777777" w:rsidR="00A4422A" w:rsidRPr="0079707D" w:rsidRDefault="00A4422A" w:rsidP="00A4422A">
            <w:pPr>
              <w:pStyle w:val="AO1"/>
              <w:rPr>
                <w:b/>
              </w:rPr>
            </w:pPr>
            <w:r>
              <w:rPr>
                <w:b/>
              </w:rPr>
              <w:t>AXA VERSICHERUNG AG</w:t>
            </w:r>
          </w:p>
        </w:tc>
        <w:tc>
          <w:tcPr>
            <w:tcW w:w="2500" w:type="pct"/>
            <w:shd w:val="clear" w:color="auto" w:fill="auto"/>
          </w:tcPr>
          <w:p w14:paraId="2C68B884" w14:textId="77777777" w:rsidR="00A4422A" w:rsidRPr="0079707D" w:rsidRDefault="00A4422A" w:rsidP="007E2625">
            <w:pPr>
              <w:pStyle w:val="AODocTxt"/>
              <w:numPr>
                <w:ilvl w:val="0"/>
                <w:numId w:val="33"/>
              </w:numPr>
              <w:ind w:hanging="720"/>
              <w:rPr>
                <w:b/>
              </w:rPr>
            </w:pPr>
            <w:r w:rsidRPr="00121CA6">
              <w:rPr>
                <w:b/>
              </w:rPr>
              <w:t>AXA VERSICHER</w:t>
            </w:r>
            <w:r>
              <w:rPr>
                <w:b/>
              </w:rPr>
              <w:t>UNG AG</w:t>
            </w:r>
          </w:p>
        </w:tc>
      </w:tr>
      <w:tr w:rsidR="00A4422A" w:rsidRPr="0055466A" w14:paraId="5B77B89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3529A0C" w14:textId="77777777" w:rsidR="00A4422A" w:rsidRPr="0055466A" w:rsidRDefault="00A4422A" w:rsidP="00A4422A">
            <w:pPr>
              <w:pStyle w:val="AO1"/>
              <w:rPr>
                <w:b/>
              </w:rPr>
            </w:pPr>
            <w:r w:rsidRPr="00121CA6">
              <w:rPr>
                <w:b/>
              </w:rPr>
              <w:t>AXA LEBENSVERS</w:t>
            </w:r>
            <w:r>
              <w:rPr>
                <w:b/>
              </w:rPr>
              <w:t>ICHERUNG AG</w:t>
            </w:r>
          </w:p>
        </w:tc>
        <w:tc>
          <w:tcPr>
            <w:tcW w:w="2500" w:type="pct"/>
            <w:shd w:val="clear" w:color="auto" w:fill="auto"/>
          </w:tcPr>
          <w:p w14:paraId="52ECA4B6" w14:textId="77777777" w:rsidR="00A4422A" w:rsidRPr="0055466A" w:rsidRDefault="00A4422A" w:rsidP="007E2625">
            <w:pPr>
              <w:pStyle w:val="AODocTxt"/>
              <w:numPr>
                <w:ilvl w:val="0"/>
                <w:numId w:val="33"/>
              </w:numPr>
              <w:ind w:hanging="720"/>
              <w:rPr>
                <w:b/>
              </w:rPr>
            </w:pPr>
            <w:r>
              <w:rPr>
                <w:b/>
              </w:rPr>
              <w:t>AXA LEBENSVERSICHERUNG AG</w:t>
            </w:r>
          </w:p>
        </w:tc>
      </w:tr>
      <w:tr w:rsidR="00A4422A" w:rsidRPr="00545395" w14:paraId="3F8593F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AF1C7A9" w14:textId="77777777" w:rsidR="00A4422A" w:rsidRPr="00545395" w:rsidRDefault="00A4422A" w:rsidP="00A4422A">
            <w:pPr>
              <w:pStyle w:val="AO1"/>
              <w:rPr>
                <w:b/>
              </w:rPr>
            </w:pPr>
            <w:r>
              <w:rPr>
                <w:b/>
              </w:rPr>
              <w:t>AXA KRANKENVERSICHERUNG AG</w:t>
            </w:r>
          </w:p>
        </w:tc>
        <w:tc>
          <w:tcPr>
            <w:tcW w:w="2500" w:type="pct"/>
            <w:shd w:val="clear" w:color="auto" w:fill="auto"/>
          </w:tcPr>
          <w:p w14:paraId="48855E75" w14:textId="77777777" w:rsidR="00A4422A" w:rsidRPr="00545395" w:rsidRDefault="00A4422A" w:rsidP="007E2625">
            <w:pPr>
              <w:pStyle w:val="AODocTxt"/>
              <w:numPr>
                <w:ilvl w:val="0"/>
                <w:numId w:val="33"/>
              </w:numPr>
              <w:ind w:hanging="720"/>
              <w:rPr>
                <w:b/>
              </w:rPr>
            </w:pPr>
            <w:r>
              <w:rPr>
                <w:b/>
              </w:rPr>
              <w:t>AXA KRANKENVERSICHERUNG AG</w:t>
            </w:r>
          </w:p>
        </w:tc>
      </w:tr>
      <w:tr w:rsidR="00A4422A" w:rsidRPr="00545395" w14:paraId="660A34B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289F599" w14:textId="77777777" w:rsidR="00A4422A" w:rsidRPr="00545395" w:rsidRDefault="00A4422A" w:rsidP="00A4422A">
            <w:pPr>
              <w:pStyle w:val="AO1"/>
              <w:rPr>
                <w:b/>
              </w:rPr>
            </w:pPr>
            <w:r>
              <w:rPr>
                <w:b/>
              </w:rPr>
              <w:t>DEUTSCHE ÄRZTE VERSICHERUNG AG</w:t>
            </w:r>
          </w:p>
        </w:tc>
        <w:tc>
          <w:tcPr>
            <w:tcW w:w="2500" w:type="pct"/>
            <w:shd w:val="clear" w:color="auto" w:fill="auto"/>
          </w:tcPr>
          <w:p w14:paraId="019FAF06" w14:textId="77777777" w:rsidR="00A4422A" w:rsidRPr="00545395" w:rsidRDefault="00A4422A" w:rsidP="007E2625">
            <w:pPr>
              <w:pStyle w:val="AODocTxt"/>
              <w:numPr>
                <w:ilvl w:val="0"/>
                <w:numId w:val="33"/>
              </w:numPr>
              <w:ind w:hanging="720"/>
              <w:rPr>
                <w:b/>
              </w:rPr>
            </w:pPr>
            <w:r>
              <w:rPr>
                <w:b/>
              </w:rPr>
              <w:t>DEUTSCHE ÄRZTE VERSICHERUNG AG</w:t>
            </w:r>
          </w:p>
        </w:tc>
      </w:tr>
      <w:tr w:rsidR="00A4422A" w14:paraId="0FC1706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09683BC" w14:textId="77777777" w:rsidR="00A4422A" w:rsidRPr="00545395" w:rsidRDefault="00A4422A" w:rsidP="00A4422A">
            <w:pPr>
              <w:pStyle w:val="AO1"/>
              <w:rPr>
                <w:b/>
              </w:rPr>
            </w:pPr>
            <w:r>
              <w:rPr>
                <w:b/>
              </w:rPr>
              <w:lastRenderedPageBreak/>
              <w:t>AXA LEBENSVERSICHERUNG AG</w:t>
            </w:r>
          </w:p>
        </w:tc>
        <w:tc>
          <w:tcPr>
            <w:tcW w:w="2500" w:type="pct"/>
            <w:shd w:val="clear" w:color="auto" w:fill="auto"/>
          </w:tcPr>
          <w:p w14:paraId="19488FCD" w14:textId="77777777" w:rsidR="00A4422A" w:rsidRDefault="00A4422A" w:rsidP="007E2625">
            <w:pPr>
              <w:pStyle w:val="AODocTxt"/>
              <w:numPr>
                <w:ilvl w:val="0"/>
                <w:numId w:val="33"/>
              </w:numPr>
              <w:ind w:hanging="720"/>
              <w:rPr>
                <w:b/>
              </w:rPr>
            </w:pPr>
            <w:r w:rsidRPr="00121CA6">
              <w:rPr>
                <w:b/>
              </w:rPr>
              <w:t>AXA LEBENSVERSICHERUNG AG</w:t>
            </w:r>
          </w:p>
        </w:tc>
      </w:tr>
      <w:tr w:rsidR="00A4422A" w:rsidRPr="00545395" w14:paraId="5DDFED9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B0223D2" w14:textId="77777777" w:rsidR="00A4422A" w:rsidRPr="00545395" w:rsidRDefault="00A4422A" w:rsidP="00A4422A">
            <w:pPr>
              <w:pStyle w:val="AO1"/>
              <w:rPr>
                <w:b/>
              </w:rPr>
            </w:pPr>
            <w:r w:rsidRPr="00121CA6">
              <w:rPr>
                <w:b/>
              </w:rPr>
              <w:t>INTERNATI</w:t>
            </w:r>
            <w:r>
              <w:rPr>
                <w:b/>
              </w:rPr>
              <w:t xml:space="preserve">ONAL INFRASTRUCTURE FINANCE S.À </w:t>
            </w:r>
            <w:proofErr w:type="gramStart"/>
            <w:r w:rsidRPr="00121CA6">
              <w:rPr>
                <w:b/>
              </w:rPr>
              <w:t>R.L</w:t>
            </w:r>
            <w:proofErr w:type="gramEnd"/>
            <w:r w:rsidRPr="00121CA6">
              <w:rPr>
                <w:b/>
              </w:rPr>
              <w:t xml:space="preserve"> ACTING THROUGH AND </w:t>
            </w:r>
            <w:r>
              <w:rPr>
                <w:b/>
              </w:rPr>
              <w:t>IN RESPECT OF ITS COMPARTMENT 1</w:t>
            </w:r>
          </w:p>
        </w:tc>
        <w:tc>
          <w:tcPr>
            <w:tcW w:w="2500" w:type="pct"/>
            <w:shd w:val="clear" w:color="auto" w:fill="auto"/>
          </w:tcPr>
          <w:p w14:paraId="6C24E130" w14:textId="77777777" w:rsidR="00A4422A" w:rsidRPr="00545395" w:rsidRDefault="00A4422A" w:rsidP="007E2625">
            <w:pPr>
              <w:pStyle w:val="AODocTxt"/>
              <w:numPr>
                <w:ilvl w:val="0"/>
                <w:numId w:val="33"/>
              </w:numPr>
              <w:ind w:hanging="720"/>
              <w:rPr>
                <w:b/>
              </w:rPr>
            </w:pPr>
            <w:r w:rsidRPr="00121CA6">
              <w:rPr>
                <w:b/>
              </w:rPr>
              <w:t>INTERNATI</w:t>
            </w:r>
            <w:r>
              <w:rPr>
                <w:b/>
              </w:rPr>
              <w:t xml:space="preserve">ONAL INFRASTRUCTURE FINANCE S.À </w:t>
            </w:r>
            <w:proofErr w:type="gramStart"/>
            <w:r w:rsidRPr="00121CA6">
              <w:rPr>
                <w:b/>
              </w:rPr>
              <w:t>R.L</w:t>
            </w:r>
            <w:proofErr w:type="gramEnd"/>
            <w:r w:rsidRPr="00121CA6">
              <w:rPr>
                <w:b/>
              </w:rPr>
              <w:t xml:space="preserve"> ACTING THROUGH AND </w:t>
            </w:r>
            <w:r>
              <w:rPr>
                <w:b/>
              </w:rPr>
              <w:t>IN RESPECT OF ITS COMPARTMENT 1</w:t>
            </w:r>
          </w:p>
        </w:tc>
      </w:tr>
      <w:tr w:rsidR="00A4422A" w:rsidRPr="00962702" w14:paraId="3F430BD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2AA9D22" w14:textId="77777777" w:rsidR="00A4422A" w:rsidRPr="00316E16" w:rsidRDefault="00A4422A" w:rsidP="00A4422A">
            <w:pPr>
              <w:pStyle w:val="AO1"/>
              <w:rPr>
                <w:b/>
                <w:lang w:val="pt-BR"/>
              </w:rPr>
            </w:pPr>
            <w:r w:rsidRPr="00316E16">
              <w:rPr>
                <w:b/>
                <w:lang w:val="pt-BR"/>
              </w:rPr>
              <w:t>AXA BELGIUM - AXA BELG OCA IARD - 97 734635-9780</w:t>
            </w:r>
          </w:p>
        </w:tc>
        <w:tc>
          <w:tcPr>
            <w:tcW w:w="2500" w:type="pct"/>
            <w:shd w:val="clear" w:color="auto" w:fill="auto"/>
          </w:tcPr>
          <w:p w14:paraId="165B150B" w14:textId="77777777" w:rsidR="00A4422A" w:rsidRPr="00316E16" w:rsidRDefault="00A4422A" w:rsidP="007E2625">
            <w:pPr>
              <w:pStyle w:val="AODocTxt"/>
              <w:numPr>
                <w:ilvl w:val="0"/>
                <w:numId w:val="33"/>
              </w:numPr>
              <w:ind w:hanging="720"/>
              <w:rPr>
                <w:b/>
                <w:lang w:val="pt-BR"/>
              </w:rPr>
            </w:pPr>
            <w:r w:rsidRPr="00316E16">
              <w:rPr>
                <w:b/>
                <w:lang w:val="pt-BR"/>
              </w:rPr>
              <w:t>AXA BELGIUM - AXA BELG OCA IARD - 97 734635-9780</w:t>
            </w:r>
          </w:p>
        </w:tc>
      </w:tr>
      <w:tr w:rsidR="00A4422A" w:rsidRPr="00CD7F22" w14:paraId="010E570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A2AA7A1" w14:textId="77777777" w:rsidR="00A4422A" w:rsidRPr="00545395" w:rsidRDefault="00A4422A" w:rsidP="00A4422A">
            <w:pPr>
              <w:pStyle w:val="AO1"/>
              <w:rPr>
                <w:b/>
                <w:lang w:val="es-ES"/>
              </w:rPr>
            </w:pPr>
            <w:r w:rsidRPr="00121CA6">
              <w:rPr>
                <w:b/>
                <w:lang w:val="es-ES"/>
              </w:rPr>
              <w:t xml:space="preserve">AXA AURORA VIDA S.A. DE </w:t>
            </w:r>
            <w:r>
              <w:rPr>
                <w:b/>
                <w:lang w:val="es-ES"/>
              </w:rPr>
              <w:t>SEGUROS Y REASEGUROS</w:t>
            </w:r>
          </w:p>
        </w:tc>
        <w:tc>
          <w:tcPr>
            <w:tcW w:w="2500" w:type="pct"/>
            <w:shd w:val="clear" w:color="auto" w:fill="auto"/>
          </w:tcPr>
          <w:p w14:paraId="216D8184" w14:textId="77777777" w:rsidR="00A4422A" w:rsidRPr="00545395" w:rsidRDefault="00A4422A" w:rsidP="007E2625">
            <w:pPr>
              <w:pStyle w:val="AODocTxt"/>
              <w:numPr>
                <w:ilvl w:val="0"/>
                <w:numId w:val="33"/>
              </w:numPr>
              <w:ind w:hanging="720"/>
              <w:rPr>
                <w:b/>
                <w:lang w:val="es-ES"/>
              </w:rPr>
            </w:pPr>
            <w:r w:rsidRPr="00D41E38">
              <w:rPr>
                <w:b/>
                <w:lang w:val="es-ES"/>
              </w:rPr>
              <w:t>AXA</w:t>
            </w:r>
            <w:r w:rsidRPr="00434621">
              <w:rPr>
                <w:b/>
                <w:lang w:val="es-ES"/>
              </w:rPr>
              <w:t xml:space="preserve"> AURORA VI</w:t>
            </w:r>
            <w:r>
              <w:rPr>
                <w:b/>
                <w:lang w:val="es-ES"/>
              </w:rPr>
              <w:t>DA S.A. DE SEGUROS Y REASEGUROS</w:t>
            </w:r>
          </w:p>
        </w:tc>
      </w:tr>
      <w:tr w:rsidR="00A4422A" w:rsidRPr="00121CA6" w14:paraId="5C8AFD6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E2CA818" w14:textId="77777777" w:rsidR="00A4422A" w:rsidRPr="00121CA6" w:rsidRDefault="00A4422A" w:rsidP="00A4422A">
            <w:pPr>
              <w:pStyle w:val="AO1"/>
              <w:rPr>
                <w:b/>
              </w:rPr>
            </w:pPr>
            <w:r>
              <w:rPr>
                <w:b/>
              </w:rPr>
              <w:t>INFRASTRUCTURE FINANCE SCS-SIF</w:t>
            </w:r>
          </w:p>
        </w:tc>
        <w:tc>
          <w:tcPr>
            <w:tcW w:w="2500" w:type="pct"/>
            <w:shd w:val="clear" w:color="auto" w:fill="auto"/>
          </w:tcPr>
          <w:p w14:paraId="32395552" w14:textId="77777777" w:rsidR="00A4422A" w:rsidRPr="00121CA6" w:rsidRDefault="00A4422A" w:rsidP="007E2625">
            <w:pPr>
              <w:pStyle w:val="AODocTxt"/>
              <w:numPr>
                <w:ilvl w:val="0"/>
                <w:numId w:val="33"/>
              </w:numPr>
              <w:ind w:hanging="720"/>
              <w:rPr>
                <w:b/>
              </w:rPr>
            </w:pPr>
            <w:r>
              <w:rPr>
                <w:b/>
              </w:rPr>
              <w:t>INFRASTRUCTURE FINANCE SCS-SIF</w:t>
            </w:r>
          </w:p>
        </w:tc>
      </w:tr>
      <w:tr w:rsidR="00A4422A" w14:paraId="1EEF6F3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B2802A4" w14:textId="77777777" w:rsidR="00A4422A" w:rsidRDefault="00A4422A" w:rsidP="00A4422A">
            <w:pPr>
              <w:pStyle w:val="AO1"/>
              <w:rPr>
                <w:b/>
              </w:rPr>
            </w:pPr>
            <w:r w:rsidRPr="00121CA6">
              <w:rPr>
                <w:b/>
              </w:rPr>
              <w:t>IN</w:t>
            </w:r>
            <w:r>
              <w:rPr>
                <w:b/>
              </w:rPr>
              <w:t>FRASTRUCTURE FINANCES SCS EIS 2</w:t>
            </w:r>
          </w:p>
        </w:tc>
        <w:tc>
          <w:tcPr>
            <w:tcW w:w="2500" w:type="pct"/>
            <w:shd w:val="clear" w:color="auto" w:fill="auto"/>
          </w:tcPr>
          <w:p w14:paraId="28FA21CD" w14:textId="77777777" w:rsidR="00A4422A" w:rsidRDefault="00A4422A" w:rsidP="007E2625">
            <w:pPr>
              <w:pStyle w:val="AODocTxt"/>
              <w:numPr>
                <w:ilvl w:val="0"/>
                <w:numId w:val="33"/>
              </w:numPr>
              <w:ind w:hanging="720"/>
              <w:rPr>
                <w:b/>
              </w:rPr>
            </w:pPr>
            <w:r w:rsidRPr="00121CA6">
              <w:rPr>
                <w:b/>
              </w:rPr>
              <w:t>IN</w:t>
            </w:r>
            <w:r>
              <w:rPr>
                <w:b/>
              </w:rPr>
              <w:t>FRASTRUCTURE FINANCES SCS EIS 2</w:t>
            </w:r>
          </w:p>
        </w:tc>
      </w:tr>
      <w:tr w:rsidR="00A4422A" w:rsidRPr="00121CA6" w14:paraId="742B716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28B7916" w14:textId="77777777" w:rsidR="00A4422A" w:rsidRDefault="00A4422A" w:rsidP="00A4422A">
            <w:pPr>
              <w:pStyle w:val="AO1"/>
              <w:rPr>
                <w:b/>
              </w:rPr>
            </w:pPr>
            <w:r>
              <w:rPr>
                <w:b/>
              </w:rPr>
              <w:t>DBJ EUROPE LIMITED</w:t>
            </w:r>
          </w:p>
        </w:tc>
        <w:tc>
          <w:tcPr>
            <w:tcW w:w="2500" w:type="pct"/>
            <w:shd w:val="clear" w:color="auto" w:fill="auto"/>
          </w:tcPr>
          <w:p w14:paraId="1BB1197C" w14:textId="77777777" w:rsidR="00A4422A" w:rsidRPr="00121CA6" w:rsidRDefault="00A4422A" w:rsidP="007E2625">
            <w:pPr>
              <w:pStyle w:val="AODocTxt"/>
              <w:numPr>
                <w:ilvl w:val="0"/>
                <w:numId w:val="33"/>
              </w:numPr>
              <w:ind w:hanging="720"/>
              <w:rPr>
                <w:b/>
              </w:rPr>
            </w:pPr>
            <w:r>
              <w:rPr>
                <w:b/>
              </w:rPr>
              <w:t>DBJ EUROPE LIMITED</w:t>
            </w:r>
          </w:p>
        </w:tc>
      </w:tr>
      <w:tr w:rsidR="00A4422A" w:rsidRPr="00121CA6" w14:paraId="438AA4D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1A96D15" w14:textId="77777777" w:rsidR="00A4422A" w:rsidRPr="00121CA6" w:rsidRDefault="00A4422A" w:rsidP="00A4422A">
            <w:pPr>
              <w:pStyle w:val="AO1"/>
              <w:rPr>
                <w:b/>
              </w:rPr>
            </w:pPr>
            <w:r>
              <w:rPr>
                <w:b/>
              </w:rPr>
              <w:t>CM LIFE INSURANCE COMPANY</w:t>
            </w:r>
          </w:p>
        </w:tc>
        <w:tc>
          <w:tcPr>
            <w:tcW w:w="2500" w:type="pct"/>
            <w:shd w:val="clear" w:color="auto" w:fill="auto"/>
          </w:tcPr>
          <w:p w14:paraId="1BCA8630" w14:textId="77777777" w:rsidR="00A4422A" w:rsidRPr="00121CA6" w:rsidRDefault="00A4422A" w:rsidP="007E2625">
            <w:pPr>
              <w:pStyle w:val="AODocTxt"/>
              <w:numPr>
                <w:ilvl w:val="0"/>
                <w:numId w:val="33"/>
              </w:numPr>
              <w:ind w:hanging="720"/>
              <w:rPr>
                <w:b/>
              </w:rPr>
            </w:pPr>
            <w:r w:rsidRPr="00121CA6">
              <w:rPr>
                <w:b/>
              </w:rPr>
              <w:t>CM LIFE IN</w:t>
            </w:r>
            <w:r>
              <w:rPr>
                <w:b/>
              </w:rPr>
              <w:t>SURANCE COMPANY</w:t>
            </w:r>
          </w:p>
        </w:tc>
      </w:tr>
      <w:tr w:rsidR="00A4422A" w:rsidRPr="00121CA6" w14:paraId="0DC5CAA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8E1EDC6" w14:textId="77777777" w:rsidR="00A4422A" w:rsidRPr="00121CA6" w:rsidRDefault="00A4422A" w:rsidP="00A4422A">
            <w:pPr>
              <w:pStyle w:val="AO1"/>
              <w:rPr>
                <w:b/>
              </w:rPr>
            </w:pPr>
            <w:r w:rsidRPr="00121CA6">
              <w:rPr>
                <w:b/>
              </w:rPr>
              <w:t>MASSACHUSETT</w:t>
            </w:r>
            <w:r>
              <w:rPr>
                <w:b/>
              </w:rPr>
              <w:t>S MUTUAL LIFE INSURANCE COMPANY</w:t>
            </w:r>
          </w:p>
        </w:tc>
        <w:tc>
          <w:tcPr>
            <w:tcW w:w="2500" w:type="pct"/>
            <w:shd w:val="clear" w:color="auto" w:fill="auto"/>
          </w:tcPr>
          <w:p w14:paraId="4E6B8478" w14:textId="77777777" w:rsidR="00A4422A" w:rsidRPr="00121CA6" w:rsidRDefault="00A4422A" w:rsidP="007E2625">
            <w:pPr>
              <w:pStyle w:val="AODocTxt"/>
              <w:numPr>
                <w:ilvl w:val="0"/>
                <w:numId w:val="33"/>
              </w:numPr>
              <w:ind w:hanging="720"/>
              <w:rPr>
                <w:b/>
              </w:rPr>
            </w:pPr>
            <w:r w:rsidRPr="00121CA6">
              <w:rPr>
                <w:b/>
              </w:rPr>
              <w:t>MASSACHUSETT</w:t>
            </w:r>
            <w:r>
              <w:rPr>
                <w:b/>
              </w:rPr>
              <w:t>S MUTUAL LIFE INSURANCE COMPANY</w:t>
            </w:r>
          </w:p>
        </w:tc>
      </w:tr>
      <w:tr w:rsidR="00A4422A" w14:paraId="0FAAE61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7FB76EC" w14:textId="77777777" w:rsidR="00A4422A" w:rsidRDefault="00A4422A" w:rsidP="00A4422A">
            <w:pPr>
              <w:pStyle w:val="AO1"/>
              <w:rPr>
                <w:b/>
              </w:rPr>
            </w:pPr>
            <w:r w:rsidRPr="00121CA6">
              <w:rPr>
                <w:b/>
              </w:rPr>
              <w:t>ROY</w:t>
            </w:r>
            <w:r>
              <w:rPr>
                <w:b/>
              </w:rPr>
              <w:t>AL &amp; SUN ALLIANCE INSURANCE PLC</w:t>
            </w:r>
          </w:p>
        </w:tc>
        <w:tc>
          <w:tcPr>
            <w:tcW w:w="2500" w:type="pct"/>
            <w:shd w:val="clear" w:color="auto" w:fill="auto"/>
          </w:tcPr>
          <w:p w14:paraId="050E4648" w14:textId="77777777" w:rsidR="00A4422A" w:rsidRDefault="00A4422A" w:rsidP="007E2625">
            <w:pPr>
              <w:pStyle w:val="AODocTxt"/>
              <w:numPr>
                <w:ilvl w:val="0"/>
                <w:numId w:val="33"/>
              </w:numPr>
              <w:ind w:hanging="720"/>
              <w:rPr>
                <w:b/>
              </w:rPr>
            </w:pPr>
            <w:r w:rsidRPr="00121CA6">
              <w:rPr>
                <w:b/>
              </w:rPr>
              <w:t>ROY</w:t>
            </w:r>
            <w:r>
              <w:rPr>
                <w:b/>
              </w:rPr>
              <w:t>AL &amp; SUN ALLIANCE INSURANCE PLC</w:t>
            </w:r>
          </w:p>
        </w:tc>
      </w:tr>
      <w:tr w:rsidR="00A4422A" w:rsidRPr="00121CA6" w14:paraId="071136C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A49C118" w14:textId="77777777" w:rsidR="00A4422A" w:rsidRPr="00121CA6" w:rsidRDefault="00A4422A" w:rsidP="00A4422A">
            <w:pPr>
              <w:pStyle w:val="AO1"/>
              <w:rPr>
                <w:b/>
              </w:rPr>
            </w:pPr>
            <w:r>
              <w:rPr>
                <w:b/>
              </w:rPr>
              <w:t>CODAN FORSIKRING A/S</w:t>
            </w:r>
          </w:p>
        </w:tc>
        <w:tc>
          <w:tcPr>
            <w:tcW w:w="2500" w:type="pct"/>
            <w:shd w:val="clear" w:color="auto" w:fill="auto"/>
          </w:tcPr>
          <w:p w14:paraId="6A818D28" w14:textId="77777777" w:rsidR="00A4422A" w:rsidRPr="00121CA6" w:rsidRDefault="00A4422A" w:rsidP="007E2625">
            <w:pPr>
              <w:pStyle w:val="AODocTxt"/>
              <w:numPr>
                <w:ilvl w:val="0"/>
                <w:numId w:val="33"/>
              </w:numPr>
              <w:ind w:hanging="720"/>
              <w:rPr>
                <w:b/>
              </w:rPr>
            </w:pPr>
            <w:r>
              <w:rPr>
                <w:b/>
              </w:rPr>
              <w:t>CODAN FORSIKRING A/S</w:t>
            </w:r>
          </w:p>
        </w:tc>
      </w:tr>
      <w:tr w:rsidR="00A4422A" w:rsidRPr="00121CA6" w14:paraId="02221FA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A6E9AA7" w14:textId="77777777" w:rsidR="00A4422A" w:rsidRPr="00121CA6" w:rsidRDefault="00A4422A" w:rsidP="00A4422A">
            <w:pPr>
              <w:pStyle w:val="AO1"/>
              <w:rPr>
                <w:b/>
              </w:rPr>
            </w:pPr>
            <w:r w:rsidRPr="00121CA6">
              <w:rPr>
                <w:b/>
              </w:rPr>
              <w:t>RIVAGE EURO DETTE INFRAST</w:t>
            </w:r>
            <w:r>
              <w:rPr>
                <w:b/>
              </w:rPr>
              <w:t>RUCTURE 1</w:t>
            </w:r>
          </w:p>
        </w:tc>
        <w:tc>
          <w:tcPr>
            <w:tcW w:w="2500" w:type="pct"/>
            <w:shd w:val="clear" w:color="auto" w:fill="auto"/>
          </w:tcPr>
          <w:p w14:paraId="402FBAE8" w14:textId="77777777" w:rsidR="00A4422A" w:rsidRPr="00121CA6" w:rsidRDefault="00A4422A" w:rsidP="007E2625">
            <w:pPr>
              <w:pStyle w:val="AODocTxt"/>
              <w:numPr>
                <w:ilvl w:val="0"/>
                <w:numId w:val="33"/>
              </w:numPr>
              <w:ind w:hanging="720"/>
              <w:rPr>
                <w:b/>
              </w:rPr>
            </w:pPr>
            <w:r w:rsidRPr="00121CA6">
              <w:rPr>
                <w:b/>
              </w:rPr>
              <w:t>RIV</w:t>
            </w:r>
            <w:r>
              <w:rPr>
                <w:b/>
              </w:rPr>
              <w:t>AGE EURO DETTE INFRASTRUCTURE 1</w:t>
            </w:r>
          </w:p>
        </w:tc>
      </w:tr>
      <w:tr w:rsidR="00A4422A" w:rsidRPr="00545395" w14:paraId="5E688E9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2248362" w14:textId="77777777" w:rsidR="00A4422A" w:rsidRPr="00545395" w:rsidRDefault="00A4422A" w:rsidP="00A4422A">
            <w:pPr>
              <w:pStyle w:val="AO1"/>
              <w:rPr>
                <w:b/>
              </w:rPr>
            </w:pPr>
            <w:r w:rsidRPr="00121CA6">
              <w:rPr>
                <w:b/>
              </w:rPr>
              <w:t>RI</w:t>
            </w:r>
            <w:r>
              <w:rPr>
                <w:b/>
              </w:rPr>
              <w:t>VAGE EURO DEBT INFRASTRUCTURE 2</w:t>
            </w:r>
          </w:p>
        </w:tc>
        <w:tc>
          <w:tcPr>
            <w:tcW w:w="2500" w:type="pct"/>
            <w:shd w:val="clear" w:color="auto" w:fill="auto"/>
          </w:tcPr>
          <w:p w14:paraId="7DD13844" w14:textId="77777777" w:rsidR="00A4422A" w:rsidRPr="00545395" w:rsidRDefault="00A4422A" w:rsidP="007E2625">
            <w:pPr>
              <w:pStyle w:val="AODocTxt"/>
              <w:numPr>
                <w:ilvl w:val="0"/>
                <w:numId w:val="33"/>
              </w:numPr>
              <w:ind w:hanging="720"/>
              <w:rPr>
                <w:b/>
              </w:rPr>
            </w:pPr>
            <w:r w:rsidRPr="00121CA6">
              <w:rPr>
                <w:b/>
              </w:rPr>
              <w:t>RI</w:t>
            </w:r>
            <w:r>
              <w:rPr>
                <w:b/>
              </w:rPr>
              <w:t>VAGE EURO DEBT INFRASTRUCTURE 2</w:t>
            </w:r>
          </w:p>
        </w:tc>
      </w:tr>
      <w:tr w:rsidR="00A4422A" w:rsidRPr="00545395" w14:paraId="7953619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C337432" w14:textId="77777777" w:rsidR="00A4422A" w:rsidRPr="00545395" w:rsidRDefault="00A4422A" w:rsidP="00A4422A">
            <w:pPr>
              <w:pStyle w:val="AO1"/>
              <w:rPr>
                <w:b/>
              </w:rPr>
            </w:pPr>
            <w:r>
              <w:rPr>
                <w:b/>
              </w:rPr>
              <w:t>ARGUIN INFRASTRUCTURE</w:t>
            </w:r>
          </w:p>
        </w:tc>
        <w:tc>
          <w:tcPr>
            <w:tcW w:w="2500" w:type="pct"/>
            <w:shd w:val="clear" w:color="auto" w:fill="auto"/>
          </w:tcPr>
          <w:p w14:paraId="0CFDA298" w14:textId="77777777" w:rsidR="00A4422A" w:rsidRPr="00545395" w:rsidRDefault="00A4422A" w:rsidP="007E2625">
            <w:pPr>
              <w:pStyle w:val="AODocTxt"/>
              <w:numPr>
                <w:ilvl w:val="0"/>
                <w:numId w:val="33"/>
              </w:numPr>
              <w:ind w:hanging="720"/>
              <w:rPr>
                <w:b/>
              </w:rPr>
            </w:pPr>
            <w:r>
              <w:rPr>
                <w:b/>
              </w:rPr>
              <w:t>ARGUIN INFRASTRUCTURE</w:t>
            </w:r>
          </w:p>
        </w:tc>
      </w:tr>
      <w:tr w:rsidR="00A4422A" w:rsidRPr="00545395" w14:paraId="2CFA95B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ED36C18" w14:textId="77777777" w:rsidR="00A4422A" w:rsidRPr="00545395" w:rsidRDefault="00A4422A" w:rsidP="00A4422A">
            <w:pPr>
              <w:pStyle w:val="AO1"/>
              <w:rPr>
                <w:b/>
              </w:rPr>
            </w:pPr>
            <w:r w:rsidRPr="00121CA6">
              <w:rPr>
                <w:b/>
              </w:rPr>
              <w:t>SUMITOMO MITSUI BANKI</w:t>
            </w:r>
            <w:r>
              <w:rPr>
                <w:b/>
              </w:rPr>
              <w:t>NG CORPORATION, BRUSSELS BRANCH</w:t>
            </w:r>
          </w:p>
        </w:tc>
        <w:tc>
          <w:tcPr>
            <w:tcW w:w="2500" w:type="pct"/>
            <w:shd w:val="clear" w:color="auto" w:fill="auto"/>
          </w:tcPr>
          <w:p w14:paraId="5FE69BF9" w14:textId="77777777" w:rsidR="00A4422A" w:rsidRPr="00545395" w:rsidRDefault="00A4422A" w:rsidP="007E2625">
            <w:pPr>
              <w:pStyle w:val="AODocTxt"/>
              <w:numPr>
                <w:ilvl w:val="0"/>
                <w:numId w:val="33"/>
              </w:numPr>
              <w:ind w:hanging="720"/>
              <w:rPr>
                <w:b/>
              </w:rPr>
            </w:pPr>
            <w:r w:rsidRPr="00121CA6">
              <w:rPr>
                <w:b/>
              </w:rPr>
              <w:t>SUMITOMO MITSUI BANKING CORPORATION, BRUSSELS BRANCH</w:t>
            </w:r>
          </w:p>
        </w:tc>
      </w:tr>
      <w:tr w:rsidR="00A4422A" w:rsidRPr="00121CA6" w14:paraId="5173B6E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44D9945" w14:textId="5CFAAD03" w:rsidR="00A4422A" w:rsidRPr="00121CA6" w:rsidRDefault="00A4422A" w:rsidP="00A4422A">
            <w:pPr>
              <w:pStyle w:val="AO1"/>
              <w:rPr>
                <w:b/>
              </w:rPr>
            </w:pPr>
            <w:bookmarkStart w:id="27" w:name="_Ref99449208"/>
            <w:r w:rsidRPr="00121CA6">
              <w:rPr>
                <w:b/>
              </w:rPr>
              <w:t>PRO BAV PENSIONSKASSE AG</w:t>
            </w:r>
            <w:bookmarkEnd w:id="27"/>
          </w:p>
        </w:tc>
        <w:tc>
          <w:tcPr>
            <w:tcW w:w="2500" w:type="pct"/>
            <w:shd w:val="clear" w:color="auto" w:fill="auto"/>
          </w:tcPr>
          <w:p w14:paraId="4FFDAA1B" w14:textId="77777777" w:rsidR="00A4422A" w:rsidRPr="00121CA6" w:rsidRDefault="00A4422A" w:rsidP="007E2625">
            <w:pPr>
              <w:pStyle w:val="AODocTxt"/>
              <w:numPr>
                <w:ilvl w:val="0"/>
                <w:numId w:val="33"/>
              </w:numPr>
              <w:ind w:hanging="720"/>
              <w:rPr>
                <w:b/>
              </w:rPr>
            </w:pPr>
            <w:bookmarkStart w:id="28" w:name="_Ref67050327"/>
            <w:r w:rsidRPr="00121CA6">
              <w:rPr>
                <w:b/>
              </w:rPr>
              <w:t>PRO BAV PENSIONSKASSE AG</w:t>
            </w:r>
            <w:bookmarkEnd w:id="28"/>
          </w:p>
        </w:tc>
      </w:tr>
      <w:tr w:rsidR="00A4422A" w:rsidRPr="00901F23" w14:paraId="5F0B1B3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F3DC298" w14:textId="58F04EF2" w:rsidR="00A4422A" w:rsidRPr="00E53971" w:rsidRDefault="00A4422A" w:rsidP="00F25678">
            <w:pPr>
              <w:pStyle w:val="AODocTxt"/>
              <w:rPr>
                <w:lang w:val="es-ES"/>
              </w:rPr>
            </w:pPr>
            <w:r>
              <w:rPr>
                <w:lang w:val="es-ES"/>
              </w:rPr>
              <w:t xml:space="preserve">Las entidades enumeradas en los apartados </w:t>
            </w:r>
            <w:r w:rsidR="00F25678">
              <w:rPr>
                <w:lang w:val="es-ES"/>
              </w:rPr>
              <w:t>(11)</w:t>
            </w:r>
            <w:r>
              <w:rPr>
                <w:lang w:val="es-ES"/>
              </w:rPr>
              <w:t xml:space="preserve"> a </w:t>
            </w:r>
            <w:r w:rsidR="00F25678">
              <w:rPr>
                <w:lang w:val="es-ES"/>
              </w:rPr>
              <w:t>(45)</w:t>
            </w:r>
            <w:r>
              <w:rPr>
                <w:lang w:val="es-ES"/>
              </w:rPr>
              <w:t xml:space="preserve"> anteriores (ambas inclusive)</w:t>
            </w:r>
            <w:r w:rsidRPr="00E53971">
              <w:rPr>
                <w:lang w:val="es-ES"/>
              </w:rPr>
              <w:t xml:space="preserve"> en su condición de entidades financiadoras originales (</w:t>
            </w:r>
            <w:r>
              <w:rPr>
                <w:i/>
                <w:lang w:val="es-ES" w:eastAsia="en-GB" w:bidi="en-GB"/>
              </w:rPr>
              <w:t>Original</w:t>
            </w:r>
            <w:r w:rsidRPr="000A0FC9">
              <w:rPr>
                <w:i/>
                <w:lang w:val="es-ES" w:eastAsia="en-GB" w:bidi="en-GB"/>
              </w:rPr>
              <w:t xml:space="preserve"> </w:t>
            </w:r>
            <w:proofErr w:type="spellStart"/>
            <w:r w:rsidRPr="000A0FC9">
              <w:rPr>
                <w:i/>
                <w:lang w:val="es-ES" w:eastAsia="en-GB" w:bidi="en-GB"/>
              </w:rPr>
              <w:t>Lenders</w:t>
            </w:r>
            <w:proofErr w:type="spellEnd"/>
            <w:r>
              <w:rPr>
                <w:lang w:val="es-ES"/>
              </w:rPr>
              <w:t xml:space="preserve">) bajo el </w:t>
            </w:r>
            <w:r w:rsidRPr="000A0FC9">
              <w:rPr>
                <w:lang w:val="es-ES"/>
              </w:rPr>
              <w:t>Contrato de Financiación Bancario e Institucional</w:t>
            </w:r>
            <w:r>
              <w:rPr>
                <w:lang w:val="es-ES"/>
              </w:rPr>
              <w:t xml:space="preserve"> </w:t>
            </w:r>
            <w:r w:rsidRPr="0024367D">
              <w:rPr>
                <w:lang w:val="es-ES"/>
              </w:rPr>
              <w:t>(</w:t>
            </w:r>
            <w:proofErr w:type="spellStart"/>
            <w:r w:rsidRPr="001624F5">
              <w:rPr>
                <w:i/>
                <w:lang w:val="es-ES"/>
              </w:rPr>
              <w:t>Institutional</w:t>
            </w:r>
            <w:proofErr w:type="spellEnd"/>
            <w:r w:rsidRPr="001624F5">
              <w:rPr>
                <w:i/>
                <w:lang w:val="es-ES"/>
              </w:rPr>
              <w:t xml:space="preserve"> and Bank Facilities</w:t>
            </w:r>
            <w:r>
              <w:rPr>
                <w:i/>
                <w:lang w:val="es-ES"/>
              </w:rPr>
              <w:t xml:space="preserve"> </w:t>
            </w:r>
            <w:proofErr w:type="spellStart"/>
            <w:r>
              <w:rPr>
                <w:i/>
                <w:lang w:val="es-ES"/>
              </w:rPr>
              <w:t>Agreement</w:t>
            </w:r>
            <w:proofErr w:type="spellEnd"/>
            <w:r w:rsidRPr="0024367D">
              <w:rPr>
                <w:lang w:val="es-ES"/>
              </w:rPr>
              <w:t xml:space="preserve">) </w:t>
            </w:r>
            <w:r w:rsidRPr="00E53971">
              <w:rPr>
                <w:lang w:val="es-ES"/>
              </w:rPr>
              <w:t xml:space="preserve">(tal y como este término se define a continuación), junto con cualquiera de sus cesionarios o aquellas entidades que en cada momento ostenten tal condición bajo el mismo, </w:t>
            </w:r>
            <w:r w:rsidRPr="00E53971">
              <w:rPr>
                <w:lang w:val="es-ES"/>
              </w:rPr>
              <w:lastRenderedPageBreak/>
              <w:t xml:space="preserve">serán referidas conjuntamente como las </w:t>
            </w:r>
            <w:r w:rsidRPr="00E53971">
              <w:rPr>
                <w:b/>
                <w:lang w:val="es-ES"/>
              </w:rPr>
              <w:t>Entidades Financiadoras</w:t>
            </w:r>
            <w:r>
              <w:rPr>
                <w:b/>
                <w:lang w:val="es-ES"/>
              </w:rPr>
              <w:t xml:space="preserve"> Originales IBFA</w:t>
            </w:r>
            <w:r w:rsidRPr="00E53971">
              <w:rPr>
                <w:lang w:val="es-ES"/>
              </w:rPr>
              <w:t xml:space="preserve">, y cada una de ellas, una </w:t>
            </w:r>
            <w:r w:rsidRPr="00E53971">
              <w:rPr>
                <w:b/>
                <w:lang w:val="es-ES"/>
              </w:rPr>
              <w:t>Entidad Financiadora</w:t>
            </w:r>
            <w:r>
              <w:rPr>
                <w:b/>
                <w:lang w:val="es-ES"/>
              </w:rPr>
              <w:t xml:space="preserve"> Original IBFA</w:t>
            </w:r>
            <w:r w:rsidRPr="00E53971">
              <w:rPr>
                <w:lang w:val="es-ES"/>
              </w:rPr>
              <w:t>.</w:t>
            </w:r>
          </w:p>
        </w:tc>
        <w:tc>
          <w:tcPr>
            <w:tcW w:w="2500" w:type="pct"/>
            <w:shd w:val="clear" w:color="auto" w:fill="auto"/>
          </w:tcPr>
          <w:p w14:paraId="5F5F1DE7" w14:textId="308DE741" w:rsidR="00A4422A" w:rsidRPr="00901F23" w:rsidRDefault="00A4422A" w:rsidP="00F25678">
            <w:pPr>
              <w:pStyle w:val="AODocTxt"/>
            </w:pPr>
            <w:r>
              <w:lastRenderedPageBreak/>
              <w:t xml:space="preserve">The entities listed in sections </w:t>
            </w:r>
            <w:r w:rsidR="00F25678" w:rsidRPr="00F25678">
              <w:t>(11</w:t>
            </w:r>
            <w:r w:rsidR="00F25678">
              <w:t>)</w:t>
            </w:r>
            <w:r>
              <w:t xml:space="preserve"> to</w:t>
            </w:r>
            <w:r w:rsidRPr="0019488B">
              <w:t xml:space="preserve"> </w:t>
            </w:r>
            <w:r w:rsidR="00F25678" w:rsidRPr="00F25678">
              <w:t>(45</w:t>
            </w:r>
            <w:r w:rsidR="00F25678">
              <w:t>)</w:t>
            </w:r>
            <w:r>
              <w:t xml:space="preserve"> above (both included)</w:t>
            </w:r>
            <w:r w:rsidRPr="00901F23">
              <w:t xml:space="preserve"> as </w:t>
            </w:r>
            <w:r>
              <w:t xml:space="preserve">the original </w:t>
            </w:r>
            <w:r w:rsidRPr="00901F23">
              <w:t xml:space="preserve">lenders under the </w:t>
            </w:r>
            <w:r w:rsidRPr="000A0FC9">
              <w:rPr>
                <w:lang w:eastAsia="en-GB" w:bidi="en-GB"/>
              </w:rPr>
              <w:t>Institutional and Bank Facilities Agreement</w:t>
            </w:r>
            <w:r w:rsidRPr="00901F23">
              <w:t xml:space="preserve"> (as this term is defined below), together with any of its assignees and transferees or entities holding such position from time to time thereunder, will be jointly referred to as the </w:t>
            </w:r>
            <w:r>
              <w:rPr>
                <w:b/>
              </w:rPr>
              <w:t>Original</w:t>
            </w:r>
            <w:r w:rsidRPr="007F64F9">
              <w:rPr>
                <w:b/>
              </w:rPr>
              <w:t xml:space="preserve"> </w:t>
            </w:r>
            <w:r>
              <w:rPr>
                <w:b/>
              </w:rPr>
              <w:t>IBFA</w:t>
            </w:r>
            <w:r>
              <w:t xml:space="preserve"> </w:t>
            </w:r>
            <w:r w:rsidRPr="00847DF9">
              <w:rPr>
                <w:b/>
              </w:rPr>
              <w:t>Lenders</w:t>
            </w:r>
            <w:r w:rsidRPr="00901F23">
              <w:t xml:space="preserve">, and each of them </w:t>
            </w:r>
            <w:r>
              <w:t xml:space="preserve">as </w:t>
            </w:r>
            <w:r w:rsidRPr="00901F23">
              <w:t>a</w:t>
            </w:r>
            <w:r>
              <w:t xml:space="preserve">n </w:t>
            </w:r>
            <w:r>
              <w:rPr>
                <w:b/>
              </w:rPr>
              <w:t>Original</w:t>
            </w:r>
            <w:r w:rsidRPr="007F64F9">
              <w:rPr>
                <w:b/>
              </w:rPr>
              <w:t xml:space="preserve"> </w:t>
            </w:r>
            <w:r>
              <w:rPr>
                <w:b/>
              </w:rPr>
              <w:t>IBFA</w:t>
            </w:r>
            <w:r w:rsidRPr="00901F23">
              <w:t xml:space="preserve"> </w:t>
            </w:r>
            <w:r w:rsidRPr="00847DF9">
              <w:rPr>
                <w:b/>
              </w:rPr>
              <w:t>Lender</w:t>
            </w:r>
            <w:r w:rsidRPr="00901F23">
              <w:t>.</w:t>
            </w:r>
          </w:p>
        </w:tc>
      </w:tr>
      <w:tr w:rsidR="00A4422A" w:rsidRPr="00847DF9" w14:paraId="0E1C66F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81F967F" w14:textId="77777777" w:rsidR="00A4422A" w:rsidRPr="00847DF9" w:rsidRDefault="00A4422A" w:rsidP="00B53048">
            <w:pPr>
              <w:pStyle w:val="AODocTxt"/>
              <w:rPr>
                <w:b/>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7EDD6298" w14:textId="77777777" w:rsidR="00A4422A" w:rsidRPr="00847DF9" w:rsidRDefault="00A4422A" w:rsidP="00B53048">
            <w:pPr>
              <w:pStyle w:val="AODocTxt"/>
              <w:rPr>
                <w:b/>
              </w:rPr>
            </w:pPr>
            <w:r w:rsidRPr="00847DF9">
              <w:rPr>
                <w:b/>
              </w:rPr>
              <w:t>On the other hand,</w:t>
            </w:r>
          </w:p>
        </w:tc>
      </w:tr>
      <w:tr w:rsidR="00A4422A" w:rsidRPr="00A502B6" w14:paraId="07311B9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2A6F469" w14:textId="77777777" w:rsidR="00A4422A" w:rsidRPr="00A502B6" w:rsidRDefault="00A4422A" w:rsidP="00A4422A">
            <w:pPr>
              <w:pStyle w:val="AO1"/>
              <w:rPr>
                <w:b/>
              </w:rPr>
            </w:pPr>
            <w:r w:rsidRPr="002A0390">
              <w:rPr>
                <w:b/>
              </w:rPr>
              <w:t>INFRASTRUCTURE FINANCE SCS-SIF</w:t>
            </w:r>
            <w:r w:rsidR="00EB5C89">
              <w:rPr>
                <w:b/>
              </w:rPr>
              <w:t xml:space="preserve">, </w:t>
            </w:r>
            <w:r w:rsidRPr="00A502B6">
              <w:rPr>
                <w:b/>
              </w:rPr>
              <w:t>acting through and in respect of its Compartment Eu</w:t>
            </w:r>
            <w:r w:rsidR="00EB5C89">
              <w:rPr>
                <w:b/>
              </w:rPr>
              <w:t xml:space="preserve">ropean Infra Senior (floating) </w:t>
            </w:r>
            <w:r w:rsidRPr="00A502B6">
              <w:rPr>
                <w:b/>
              </w:rPr>
              <w:t>2</w:t>
            </w:r>
          </w:p>
        </w:tc>
        <w:tc>
          <w:tcPr>
            <w:tcW w:w="2500" w:type="pct"/>
            <w:shd w:val="clear" w:color="auto" w:fill="auto"/>
          </w:tcPr>
          <w:p w14:paraId="09FB4274" w14:textId="77777777" w:rsidR="00A4422A" w:rsidRPr="00A502B6" w:rsidRDefault="00A4422A" w:rsidP="007E2625">
            <w:pPr>
              <w:pStyle w:val="AODocTxt"/>
              <w:numPr>
                <w:ilvl w:val="0"/>
                <w:numId w:val="33"/>
              </w:numPr>
              <w:ind w:hanging="720"/>
              <w:rPr>
                <w:b/>
              </w:rPr>
            </w:pPr>
            <w:r w:rsidRPr="00A502B6">
              <w:rPr>
                <w:b/>
              </w:rPr>
              <w:t>I</w:t>
            </w:r>
            <w:r w:rsidR="00EB5C89">
              <w:rPr>
                <w:b/>
              </w:rPr>
              <w:t xml:space="preserve">NFRASTRUCTURE FINANCE SCS-SIF, </w:t>
            </w:r>
            <w:r w:rsidRPr="00A502B6">
              <w:rPr>
                <w:b/>
              </w:rPr>
              <w:t xml:space="preserve">acting through and in respect of its Compartment European Infra </w:t>
            </w:r>
            <w:r w:rsidR="00EB5C89">
              <w:rPr>
                <w:b/>
              </w:rPr>
              <w:t xml:space="preserve">Senior (floating) </w:t>
            </w:r>
            <w:r w:rsidRPr="00A502B6">
              <w:rPr>
                <w:b/>
              </w:rPr>
              <w:t>2</w:t>
            </w:r>
          </w:p>
        </w:tc>
      </w:tr>
      <w:tr w:rsidR="00A4422A" w:rsidRPr="00901F23" w14:paraId="25421A2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1FCDD62" w14:textId="77777777" w:rsidR="00A4422A" w:rsidRPr="00E53971" w:rsidRDefault="00A4422A" w:rsidP="00B53048">
            <w:pPr>
              <w:pStyle w:val="AODocTxt"/>
              <w:rPr>
                <w:lang w:val="es-ES"/>
              </w:rPr>
            </w:pPr>
            <w:r w:rsidRPr="00A502B6">
              <w:rPr>
                <w:lang w:val="es-ES"/>
              </w:rPr>
              <w:t>INFRASTRUCTURE FINANCE SCS-SIF</w:t>
            </w:r>
            <w:r w:rsidR="00EB5C89">
              <w:rPr>
                <w:i/>
                <w:lang w:val="es-ES"/>
              </w:rPr>
              <w:t xml:space="preserve">, </w:t>
            </w:r>
            <w:r w:rsidRPr="00B702D9">
              <w:rPr>
                <w:i/>
                <w:lang w:val="es-ES"/>
              </w:rPr>
              <w:t xml:space="preserve">acting </w:t>
            </w:r>
            <w:proofErr w:type="spellStart"/>
            <w:r w:rsidRPr="00B702D9">
              <w:rPr>
                <w:i/>
                <w:lang w:val="es-ES"/>
              </w:rPr>
              <w:t>through</w:t>
            </w:r>
            <w:proofErr w:type="spellEnd"/>
            <w:r w:rsidRPr="00B702D9">
              <w:rPr>
                <w:i/>
                <w:lang w:val="es-ES"/>
              </w:rPr>
              <w:t xml:space="preserve"> and in </w:t>
            </w:r>
            <w:proofErr w:type="spellStart"/>
            <w:r w:rsidRPr="00B702D9">
              <w:rPr>
                <w:i/>
                <w:lang w:val="es-ES"/>
              </w:rPr>
              <w:t>respect</w:t>
            </w:r>
            <w:proofErr w:type="spellEnd"/>
            <w:r w:rsidRPr="00B702D9">
              <w:rPr>
                <w:i/>
                <w:lang w:val="es-ES"/>
              </w:rPr>
              <w:t xml:space="preserve"> of its </w:t>
            </w:r>
            <w:proofErr w:type="spellStart"/>
            <w:r w:rsidRPr="00B702D9">
              <w:rPr>
                <w:i/>
                <w:lang w:val="es-ES"/>
              </w:rPr>
              <w:t>Compartment</w:t>
            </w:r>
            <w:proofErr w:type="spellEnd"/>
            <w:r w:rsidRPr="00B702D9">
              <w:rPr>
                <w:i/>
                <w:lang w:val="es-ES"/>
              </w:rPr>
              <w:t xml:space="preserve"> Eu</w:t>
            </w:r>
            <w:r w:rsidR="00EB5C89">
              <w:rPr>
                <w:i/>
                <w:lang w:val="es-ES"/>
              </w:rPr>
              <w:t>ropean Infra Senior (</w:t>
            </w:r>
            <w:proofErr w:type="spellStart"/>
            <w:r w:rsidR="00EB5C89">
              <w:rPr>
                <w:i/>
                <w:lang w:val="es-ES"/>
              </w:rPr>
              <w:t>floating</w:t>
            </w:r>
            <w:proofErr w:type="spellEnd"/>
            <w:r w:rsidR="00EB5C89">
              <w:rPr>
                <w:i/>
                <w:lang w:val="es-ES"/>
              </w:rPr>
              <w:t xml:space="preserve">) </w:t>
            </w:r>
            <w:r w:rsidRPr="00B702D9">
              <w:rPr>
                <w:i/>
                <w:lang w:val="es-ES"/>
              </w:rPr>
              <w:t>2</w:t>
            </w:r>
            <w:r>
              <w:rPr>
                <w:lang w:val="es-ES"/>
              </w:rPr>
              <w:t>, en su condición de entidad</w:t>
            </w:r>
            <w:r w:rsidRPr="00E53971">
              <w:rPr>
                <w:lang w:val="es-ES"/>
              </w:rPr>
              <w:t xml:space="preserve"> </w:t>
            </w:r>
            <w:r>
              <w:rPr>
                <w:lang w:val="es-ES"/>
              </w:rPr>
              <w:t>financiadora original</w:t>
            </w:r>
            <w:r w:rsidRPr="00E53971">
              <w:rPr>
                <w:lang w:val="es-ES"/>
              </w:rPr>
              <w:t xml:space="preserve"> (</w:t>
            </w:r>
            <w:r>
              <w:rPr>
                <w:i/>
                <w:lang w:val="es-ES" w:eastAsia="en-GB" w:bidi="en-GB"/>
              </w:rPr>
              <w:t>Original</w:t>
            </w:r>
            <w:r w:rsidRPr="000A0FC9">
              <w:rPr>
                <w:i/>
                <w:lang w:val="es-ES" w:eastAsia="en-GB" w:bidi="en-GB"/>
              </w:rPr>
              <w:t xml:space="preserve"> </w:t>
            </w:r>
            <w:r>
              <w:rPr>
                <w:i/>
                <w:lang w:val="es-ES" w:eastAsia="en-GB" w:bidi="en-GB"/>
              </w:rPr>
              <w:t>Lender</w:t>
            </w:r>
            <w:r>
              <w:rPr>
                <w:lang w:val="es-ES"/>
              </w:rPr>
              <w:t xml:space="preserve">) bajo el </w:t>
            </w:r>
            <w:r w:rsidRPr="00A502B6">
              <w:rPr>
                <w:lang w:val="es-ES"/>
              </w:rPr>
              <w:t>Contrato de Financiación Institucional</w:t>
            </w:r>
            <w:r w:rsidRPr="0024367D">
              <w:rPr>
                <w:lang w:val="es-ES"/>
              </w:rPr>
              <w:t xml:space="preserve"> (</w:t>
            </w:r>
            <w:proofErr w:type="spellStart"/>
            <w:r w:rsidRPr="001624F5">
              <w:rPr>
                <w:i/>
                <w:lang w:val="es-ES"/>
              </w:rPr>
              <w:t>Institutional</w:t>
            </w:r>
            <w:proofErr w:type="spellEnd"/>
            <w:r w:rsidRPr="001624F5">
              <w:rPr>
                <w:i/>
                <w:lang w:val="es-ES"/>
              </w:rPr>
              <w:t xml:space="preserve"> </w:t>
            </w:r>
            <w:proofErr w:type="spellStart"/>
            <w:r>
              <w:rPr>
                <w:i/>
                <w:lang w:val="es-ES"/>
              </w:rPr>
              <w:t>Facility</w:t>
            </w:r>
            <w:proofErr w:type="spellEnd"/>
            <w:r>
              <w:rPr>
                <w:i/>
                <w:lang w:val="es-ES"/>
              </w:rPr>
              <w:t xml:space="preserve"> </w:t>
            </w:r>
            <w:proofErr w:type="spellStart"/>
            <w:r>
              <w:rPr>
                <w:i/>
                <w:lang w:val="es-ES"/>
              </w:rPr>
              <w:t>Agreement</w:t>
            </w:r>
            <w:proofErr w:type="spellEnd"/>
            <w:r w:rsidRPr="0024367D">
              <w:rPr>
                <w:lang w:val="es-ES"/>
              </w:rPr>
              <w:t xml:space="preserve">) </w:t>
            </w:r>
            <w:r w:rsidRPr="00E53971">
              <w:rPr>
                <w:lang w:val="es-ES"/>
              </w:rPr>
              <w:t xml:space="preserve">(tal y como este término se define a continuación), junto con cualquiera de sus cesionarios o aquellas entidades que en cada momento ostenten tal condición bajo el mismo, serán referidas conjuntamente como las </w:t>
            </w:r>
            <w:r w:rsidRPr="00E53971">
              <w:rPr>
                <w:b/>
                <w:lang w:val="es-ES"/>
              </w:rPr>
              <w:t>Entidades Financiadoras</w:t>
            </w:r>
            <w:r>
              <w:rPr>
                <w:b/>
                <w:lang w:val="es-ES"/>
              </w:rPr>
              <w:t xml:space="preserve"> Originales IFA</w:t>
            </w:r>
            <w:r w:rsidRPr="00E53971">
              <w:rPr>
                <w:lang w:val="es-ES"/>
              </w:rPr>
              <w:t xml:space="preserve">, y cada una de ellas, una </w:t>
            </w:r>
            <w:r w:rsidRPr="00E53971">
              <w:rPr>
                <w:b/>
                <w:lang w:val="es-ES"/>
              </w:rPr>
              <w:t>Entidad Financiadora</w:t>
            </w:r>
            <w:r>
              <w:rPr>
                <w:b/>
                <w:lang w:val="es-ES"/>
              </w:rPr>
              <w:t xml:space="preserve"> Original IFA</w:t>
            </w:r>
            <w:r w:rsidRPr="00E53971">
              <w:rPr>
                <w:lang w:val="es-ES"/>
              </w:rPr>
              <w:t>.</w:t>
            </w:r>
          </w:p>
        </w:tc>
        <w:tc>
          <w:tcPr>
            <w:tcW w:w="2500" w:type="pct"/>
            <w:shd w:val="clear" w:color="auto" w:fill="auto"/>
          </w:tcPr>
          <w:p w14:paraId="5CC5A46F" w14:textId="77777777" w:rsidR="00A4422A" w:rsidRPr="00901F23" w:rsidRDefault="00A4422A" w:rsidP="00B53048">
            <w:pPr>
              <w:pStyle w:val="AODocTxt"/>
            </w:pPr>
            <w:r w:rsidRPr="00A502B6">
              <w:t>INFRASTRUCTURE FINANCE SCS-SIF, acting through and in respect of its Compartment European Infra Senior (floating) 2</w:t>
            </w:r>
            <w:r w:rsidRPr="00901F23">
              <w:t xml:space="preserve"> as </w:t>
            </w:r>
            <w:r>
              <w:t>the original lender</w:t>
            </w:r>
            <w:r w:rsidRPr="00901F23">
              <w:t xml:space="preserve"> under the </w:t>
            </w:r>
            <w:r w:rsidRPr="000A0FC9">
              <w:rPr>
                <w:lang w:eastAsia="en-GB" w:bidi="en-GB"/>
              </w:rPr>
              <w:t xml:space="preserve">Institutional </w:t>
            </w:r>
            <w:r>
              <w:rPr>
                <w:lang w:eastAsia="en-GB" w:bidi="en-GB"/>
              </w:rPr>
              <w:t>Facility</w:t>
            </w:r>
            <w:r w:rsidRPr="000A0FC9">
              <w:rPr>
                <w:lang w:eastAsia="en-GB" w:bidi="en-GB"/>
              </w:rPr>
              <w:t xml:space="preserve"> Agreement</w:t>
            </w:r>
            <w:r w:rsidRPr="00901F23">
              <w:t xml:space="preserve"> (as this term is defined below), together with any of its assignees and transferees or entities holding such position from time to time thereunder, will be jointly referred to as the </w:t>
            </w:r>
            <w:r>
              <w:rPr>
                <w:b/>
              </w:rPr>
              <w:t>Original</w:t>
            </w:r>
            <w:r w:rsidRPr="007F64F9">
              <w:rPr>
                <w:b/>
              </w:rPr>
              <w:t xml:space="preserve"> </w:t>
            </w:r>
            <w:r>
              <w:rPr>
                <w:b/>
              </w:rPr>
              <w:t>IFA</w:t>
            </w:r>
            <w:r>
              <w:t xml:space="preserve"> </w:t>
            </w:r>
            <w:r w:rsidRPr="00847DF9">
              <w:rPr>
                <w:b/>
              </w:rPr>
              <w:t>Lenders</w:t>
            </w:r>
            <w:r w:rsidRPr="00901F23">
              <w:t xml:space="preserve">, and each of them </w:t>
            </w:r>
            <w:r>
              <w:t xml:space="preserve">as </w:t>
            </w:r>
            <w:r w:rsidRPr="00901F23">
              <w:t>a</w:t>
            </w:r>
            <w:r>
              <w:t xml:space="preserve">n </w:t>
            </w:r>
            <w:r>
              <w:rPr>
                <w:b/>
              </w:rPr>
              <w:t>Original</w:t>
            </w:r>
            <w:r w:rsidRPr="007F64F9">
              <w:rPr>
                <w:b/>
              </w:rPr>
              <w:t xml:space="preserve"> </w:t>
            </w:r>
            <w:r>
              <w:rPr>
                <w:b/>
              </w:rPr>
              <w:t>IFA</w:t>
            </w:r>
            <w:r w:rsidRPr="00901F23">
              <w:t xml:space="preserve"> </w:t>
            </w:r>
            <w:r w:rsidRPr="00847DF9">
              <w:rPr>
                <w:b/>
              </w:rPr>
              <w:t>Lender</w:t>
            </w:r>
            <w:r w:rsidRPr="00901F23">
              <w:t>.</w:t>
            </w:r>
          </w:p>
        </w:tc>
      </w:tr>
      <w:tr w:rsidR="00A4422A" w:rsidRPr="00847DF9" w14:paraId="6CCD03E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3F152BB" w14:textId="77777777" w:rsidR="00A4422A" w:rsidRPr="00847DF9" w:rsidRDefault="00A4422A" w:rsidP="00B53048">
            <w:pPr>
              <w:pStyle w:val="AODocTxt"/>
              <w:rPr>
                <w:b/>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0BFFBB9C" w14:textId="77777777" w:rsidR="00A4422A" w:rsidRPr="00847DF9" w:rsidRDefault="00A4422A" w:rsidP="00B53048">
            <w:pPr>
              <w:pStyle w:val="AODocTxt"/>
              <w:rPr>
                <w:b/>
              </w:rPr>
            </w:pPr>
            <w:r w:rsidRPr="00847DF9">
              <w:rPr>
                <w:b/>
              </w:rPr>
              <w:t>On the other hand,</w:t>
            </w:r>
          </w:p>
        </w:tc>
      </w:tr>
      <w:tr w:rsidR="00A4422A" w:rsidRPr="001277C5" w14:paraId="21F11D5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01B5930" w14:textId="56F10B46" w:rsidR="00A4422A" w:rsidRPr="001277C5" w:rsidRDefault="00A4422A" w:rsidP="00A4422A">
            <w:pPr>
              <w:pStyle w:val="AO1"/>
              <w:rPr>
                <w:b/>
              </w:rPr>
            </w:pPr>
            <w:bookmarkStart w:id="29" w:name="_Ref67050418"/>
            <w:r w:rsidRPr="00D242AD">
              <w:rPr>
                <w:b/>
              </w:rPr>
              <w:t>ATHENE ANNUITY AND LIFE COMPANY</w:t>
            </w:r>
            <w:bookmarkEnd w:id="29"/>
          </w:p>
        </w:tc>
        <w:tc>
          <w:tcPr>
            <w:tcW w:w="2500" w:type="pct"/>
            <w:shd w:val="clear" w:color="auto" w:fill="auto"/>
          </w:tcPr>
          <w:p w14:paraId="0439369F" w14:textId="77777777" w:rsidR="00A4422A" w:rsidRPr="001277C5" w:rsidRDefault="00A4422A" w:rsidP="007E2625">
            <w:pPr>
              <w:pStyle w:val="AODocTxt"/>
              <w:numPr>
                <w:ilvl w:val="0"/>
                <w:numId w:val="33"/>
              </w:numPr>
              <w:ind w:hanging="720"/>
              <w:rPr>
                <w:b/>
              </w:rPr>
            </w:pPr>
            <w:bookmarkStart w:id="30" w:name="_Ref99449266"/>
            <w:r>
              <w:rPr>
                <w:b/>
              </w:rPr>
              <w:t>ATHENE ANNUITY AND LIFE COMPANY</w:t>
            </w:r>
            <w:bookmarkEnd w:id="30"/>
          </w:p>
        </w:tc>
      </w:tr>
      <w:tr w:rsidR="00A4422A" w:rsidRPr="001277C5" w14:paraId="17F4B88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A009469" w14:textId="77777777" w:rsidR="00A4422A" w:rsidRPr="001277C5" w:rsidRDefault="00A4422A" w:rsidP="00A4422A">
            <w:pPr>
              <w:pStyle w:val="AO1"/>
              <w:rPr>
                <w:b/>
              </w:rPr>
            </w:pPr>
            <w:r w:rsidRPr="00D242AD">
              <w:rPr>
                <w:b/>
              </w:rPr>
              <w:t>ATHENE A</w:t>
            </w:r>
            <w:r>
              <w:rPr>
                <w:b/>
              </w:rPr>
              <w:t>NNUITY &amp; LIFE ASSURANCE COMPANY</w:t>
            </w:r>
          </w:p>
        </w:tc>
        <w:tc>
          <w:tcPr>
            <w:tcW w:w="2500" w:type="pct"/>
            <w:shd w:val="clear" w:color="auto" w:fill="auto"/>
          </w:tcPr>
          <w:p w14:paraId="434A6440" w14:textId="77777777" w:rsidR="00A4422A" w:rsidRPr="001277C5" w:rsidRDefault="00A4422A" w:rsidP="007E2625">
            <w:pPr>
              <w:pStyle w:val="AODocTxt"/>
              <w:numPr>
                <w:ilvl w:val="0"/>
                <w:numId w:val="33"/>
              </w:numPr>
              <w:ind w:hanging="720"/>
              <w:rPr>
                <w:b/>
              </w:rPr>
            </w:pPr>
            <w:r w:rsidRPr="00D242AD">
              <w:rPr>
                <w:b/>
              </w:rPr>
              <w:t>ATHENE A</w:t>
            </w:r>
            <w:r>
              <w:rPr>
                <w:b/>
              </w:rPr>
              <w:t>NNUITY &amp; LIFE ASSURANCE COMPANY</w:t>
            </w:r>
          </w:p>
        </w:tc>
      </w:tr>
      <w:tr w:rsidR="00A4422A" w:rsidRPr="001277C5" w14:paraId="63CF6AF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256EAC2" w14:textId="77777777" w:rsidR="00A4422A" w:rsidRPr="001277C5" w:rsidRDefault="00A4422A" w:rsidP="00A4422A">
            <w:pPr>
              <w:pStyle w:val="AO1"/>
              <w:rPr>
                <w:b/>
              </w:rPr>
            </w:pPr>
            <w:r w:rsidRPr="00D242AD">
              <w:rPr>
                <w:b/>
              </w:rPr>
              <w:t>MASSACHUSETT</w:t>
            </w:r>
            <w:r>
              <w:rPr>
                <w:b/>
              </w:rPr>
              <w:t>S MUTUAL LIFE INSURANCE COMPANY</w:t>
            </w:r>
          </w:p>
        </w:tc>
        <w:tc>
          <w:tcPr>
            <w:tcW w:w="2500" w:type="pct"/>
            <w:shd w:val="clear" w:color="auto" w:fill="auto"/>
          </w:tcPr>
          <w:p w14:paraId="7B78C94C" w14:textId="77777777" w:rsidR="00A4422A" w:rsidRPr="001277C5" w:rsidRDefault="00A4422A" w:rsidP="007E2625">
            <w:pPr>
              <w:pStyle w:val="AODocTxt"/>
              <w:numPr>
                <w:ilvl w:val="0"/>
                <w:numId w:val="33"/>
              </w:numPr>
              <w:ind w:hanging="720"/>
              <w:rPr>
                <w:b/>
              </w:rPr>
            </w:pPr>
            <w:r w:rsidRPr="00D242AD">
              <w:rPr>
                <w:b/>
              </w:rPr>
              <w:t>MASSACHUSETT</w:t>
            </w:r>
            <w:r>
              <w:rPr>
                <w:b/>
              </w:rPr>
              <w:t>S MUTUAL LIFE INSURANCE COMPANY</w:t>
            </w:r>
          </w:p>
        </w:tc>
      </w:tr>
      <w:tr w:rsidR="00A4422A" w:rsidRPr="001277C5" w14:paraId="5631DD8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748217C" w14:textId="77777777" w:rsidR="00A4422A" w:rsidRPr="001277C5" w:rsidRDefault="00A4422A" w:rsidP="00A4422A">
            <w:pPr>
              <w:pStyle w:val="AO1"/>
              <w:rPr>
                <w:b/>
              </w:rPr>
            </w:pPr>
            <w:r w:rsidRPr="00D242AD">
              <w:rPr>
                <w:b/>
              </w:rPr>
              <w:t>BRIGHTHOUSE LIFE</w:t>
            </w:r>
            <w:r>
              <w:rPr>
                <w:b/>
              </w:rPr>
              <w:t xml:space="preserve"> INSURANCE COMPANY</w:t>
            </w:r>
          </w:p>
        </w:tc>
        <w:tc>
          <w:tcPr>
            <w:tcW w:w="2500" w:type="pct"/>
            <w:shd w:val="clear" w:color="auto" w:fill="auto"/>
          </w:tcPr>
          <w:p w14:paraId="15396705" w14:textId="77777777" w:rsidR="00A4422A" w:rsidRPr="001277C5" w:rsidRDefault="00A4422A" w:rsidP="007E2625">
            <w:pPr>
              <w:pStyle w:val="AODocTxt"/>
              <w:numPr>
                <w:ilvl w:val="0"/>
                <w:numId w:val="33"/>
              </w:numPr>
              <w:ind w:hanging="720"/>
              <w:rPr>
                <w:b/>
              </w:rPr>
            </w:pPr>
            <w:r w:rsidRPr="00D242AD">
              <w:rPr>
                <w:b/>
              </w:rPr>
              <w:t>BRI</w:t>
            </w:r>
            <w:r>
              <w:rPr>
                <w:b/>
              </w:rPr>
              <w:t>GHTHOUSE LIFE INSURANCE COMPANY</w:t>
            </w:r>
          </w:p>
        </w:tc>
      </w:tr>
      <w:tr w:rsidR="00A4422A" w:rsidRPr="001277C5" w14:paraId="15A7090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20CF636" w14:textId="77777777" w:rsidR="00A4422A" w:rsidRPr="001277C5" w:rsidRDefault="00A4422A" w:rsidP="00A4422A">
            <w:pPr>
              <w:pStyle w:val="AO1"/>
              <w:rPr>
                <w:b/>
              </w:rPr>
            </w:pPr>
            <w:r w:rsidRPr="00D242AD">
              <w:rPr>
                <w:b/>
              </w:rPr>
              <w:t>METR</w:t>
            </w:r>
            <w:r>
              <w:rPr>
                <w:b/>
              </w:rPr>
              <w:t>OPOLITAN LIFE INSURANCE COMPANY</w:t>
            </w:r>
          </w:p>
        </w:tc>
        <w:tc>
          <w:tcPr>
            <w:tcW w:w="2500" w:type="pct"/>
            <w:shd w:val="clear" w:color="auto" w:fill="auto"/>
          </w:tcPr>
          <w:p w14:paraId="564E51DA" w14:textId="77777777" w:rsidR="00A4422A" w:rsidRPr="001277C5" w:rsidRDefault="00A4422A" w:rsidP="007E2625">
            <w:pPr>
              <w:pStyle w:val="AODocTxt"/>
              <w:numPr>
                <w:ilvl w:val="0"/>
                <w:numId w:val="33"/>
              </w:numPr>
              <w:ind w:hanging="720"/>
              <w:rPr>
                <w:b/>
              </w:rPr>
            </w:pPr>
            <w:r w:rsidRPr="00D242AD">
              <w:rPr>
                <w:b/>
              </w:rPr>
              <w:t>METR</w:t>
            </w:r>
            <w:r>
              <w:rPr>
                <w:b/>
              </w:rPr>
              <w:t>OPOLITAN LIFE INSURANCE COMPANY</w:t>
            </w:r>
          </w:p>
        </w:tc>
      </w:tr>
      <w:tr w:rsidR="00A4422A" w:rsidRPr="001277C5" w14:paraId="0D762C0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4128D3D" w14:textId="77777777" w:rsidR="00A4422A" w:rsidRPr="001277C5" w:rsidRDefault="00A4422A" w:rsidP="00A4422A">
            <w:pPr>
              <w:pStyle w:val="AO1"/>
              <w:rPr>
                <w:b/>
              </w:rPr>
            </w:pPr>
            <w:r w:rsidRPr="00D242AD">
              <w:rPr>
                <w:b/>
              </w:rPr>
              <w:t>METROPOLITA</w:t>
            </w:r>
            <w:r>
              <w:rPr>
                <w:b/>
              </w:rPr>
              <w:t xml:space="preserve">N TOWER LIFE INSURANCE COMPANY </w:t>
            </w:r>
          </w:p>
        </w:tc>
        <w:tc>
          <w:tcPr>
            <w:tcW w:w="2500" w:type="pct"/>
            <w:shd w:val="clear" w:color="auto" w:fill="auto"/>
          </w:tcPr>
          <w:p w14:paraId="16C13760" w14:textId="77777777" w:rsidR="00A4422A" w:rsidRPr="001277C5" w:rsidRDefault="00A4422A" w:rsidP="007E2625">
            <w:pPr>
              <w:pStyle w:val="AODocTxt"/>
              <w:numPr>
                <w:ilvl w:val="0"/>
                <w:numId w:val="33"/>
              </w:numPr>
              <w:ind w:hanging="720"/>
              <w:rPr>
                <w:b/>
              </w:rPr>
            </w:pPr>
            <w:r w:rsidRPr="00D242AD">
              <w:rPr>
                <w:b/>
              </w:rPr>
              <w:t>METROPOLITA</w:t>
            </w:r>
            <w:r>
              <w:rPr>
                <w:b/>
              </w:rPr>
              <w:t xml:space="preserve">N TOWER LIFE INSURANCE COMPANY </w:t>
            </w:r>
          </w:p>
        </w:tc>
      </w:tr>
      <w:tr w:rsidR="00A4422A" w:rsidRPr="001277C5" w14:paraId="72576A8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983CD55" w14:textId="77777777" w:rsidR="00A4422A" w:rsidRPr="001277C5" w:rsidRDefault="00A4422A" w:rsidP="00A4422A">
            <w:pPr>
              <w:pStyle w:val="AO1"/>
              <w:rPr>
                <w:b/>
              </w:rPr>
            </w:pPr>
            <w:r w:rsidRPr="00D242AD">
              <w:rPr>
                <w:b/>
              </w:rPr>
              <w:t>P</w:t>
            </w:r>
            <w:r>
              <w:rPr>
                <w:b/>
              </w:rPr>
              <w:t>ENSIONSKASSE DES BUNDES PUBLICA</w:t>
            </w:r>
          </w:p>
        </w:tc>
        <w:tc>
          <w:tcPr>
            <w:tcW w:w="2500" w:type="pct"/>
            <w:shd w:val="clear" w:color="auto" w:fill="auto"/>
          </w:tcPr>
          <w:p w14:paraId="2068DF9E" w14:textId="77777777" w:rsidR="00A4422A" w:rsidRPr="001277C5" w:rsidRDefault="00A4422A" w:rsidP="007E2625">
            <w:pPr>
              <w:pStyle w:val="AODocTxt"/>
              <w:numPr>
                <w:ilvl w:val="0"/>
                <w:numId w:val="33"/>
              </w:numPr>
              <w:ind w:hanging="720"/>
              <w:rPr>
                <w:b/>
              </w:rPr>
            </w:pPr>
            <w:r w:rsidRPr="00D242AD">
              <w:rPr>
                <w:b/>
              </w:rPr>
              <w:t>P</w:t>
            </w:r>
            <w:r>
              <w:rPr>
                <w:b/>
              </w:rPr>
              <w:t>ENSIONSKASSE DES BUNDES PUBLICA</w:t>
            </w:r>
          </w:p>
        </w:tc>
      </w:tr>
      <w:tr w:rsidR="00A4422A" w:rsidRPr="00D242AD" w14:paraId="4F13F0E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E9F2E8A" w14:textId="579EDD4E" w:rsidR="00A4422A" w:rsidRPr="00D242AD" w:rsidRDefault="00A4422A" w:rsidP="00A4422A">
            <w:pPr>
              <w:pStyle w:val="AO1"/>
              <w:rPr>
                <w:b/>
              </w:rPr>
            </w:pPr>
            <w:bookmarkStart w:id="31" w:name="_Ref99449258"/>
            <w:r w:rsidRPr="00D242AD">
              <w:rPr>
                <w:b/>
              </w:rPr>
              <w:t>ATHENE ANNUITY &amp; LIFE ASSURANCE COMPANY OF NEW YORK</w:t>
            </w:r>
            <w:bookmarkEnd w:id="31"/>
          </w:p>
        </w:tc>
        <w:tc>
          <w:tcPr>
            <w:tcW w:w="2500" w:type="pct"/>
            <w:shd w:val="clear" w:color="auto" w:fill="auto"/>
          </w:tcPr>
          <w:p w14:paraId="5BC92817" w14:textId="77777777" w:rsidR="00A4422A" w:rsidRPr="00D242AD" w:rsidRDefault="00A4422A" w:rsidP="007E2625">
            <w:pPr>
              <w:pStyle w:val="AODocTxt"/>
              <w:numPr>
                <w:ilvl w:val="0"/>
                <w:numId w:val="33"/>
              </w:numPr>
              <w:ind w:hanging="720"/>
              <w:rPr>
                <w:b/>
              </w:rPr>
            </w:pPr>
            <w:bookmarkStart w:id="32" w:name="_Ref67050428"/>
            <w:r w:rsidRPr="00D242AD">
              <w:rPr>
                <w:b/>
              </w:rPr>
              <w:t>ATHENE ANNUITY &amp; LIFE ASSURANCE COMPANY OF NEW YORK</w:t>
            </w:r>
            <w:bookmarkEnd w:id="32"/>
          </w:p>
        </w:tc>
      </w:tr>
      <w:tr w:rsidR="00A4422A" w:rsidRPr="00901F23" w14:paraId="0BB96E3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B0D424E" w14:textId="5D865E50" w:rsidR="00A4422A" w:rsidRPr="00E53971" w:rsidRDefault="00A4422A" w:rsidP="00F25678">
            <w:pPr>
              <w:pStyle w:val="AODocTxt"/>
              <w:rPr>
                <w:lang w:val="es-ES"/>
              </w:rPr>
            </w:pPr>
            <w:r>
              <w:rPr>
                <w:lang w:val="es-ES"/>
              </w:rPr>
              <w:t xml:space="preserve">Las entidades enumeradas en los apartados </w:t>
            </w:r>
            <w:r w:rsidR="00F25678">
              <w:rPr>
                <w:lang w:val="es-ES"/>
              </w:rPr>
              <w:t>(47)</w:t>
            </w:r>
            <w:r>
              <w:rPr>
                <w:lang w:val="es-ES"/>
              </w:rPr>
              <w:t xml:space="preserve"> a </w:t>
            </w:r>
            <w:r w:rsidR="00F25678">
              <w:rPr>
                <w:lang w:val="es-ES"/>
              </w:rPr>
              <w:t>(54)</w:t>
            </w:r>
            <w:r>
              <w:rPr>
                <w:lang w:val="es-ES"/>
              </w:rPr>
              <w:t xml:space="preserve"> anteriores (ambas inclusive)</w:t>
            </w:r>
            <w:r w:rsidRPr="00E53971">
              <w:rPr>
                <w:lang w:val="es-ES"/>
              </w:rPr>
              <w:t xml:space="preserve"> en su condición de </w:t>
            </w:r>
            <w:r>
              <w:rPr>
                <w:lang w:val="es-ES"/>
              </w:rPr>
              <w:t xml:space="preserve">compradoras </w:t>
            </w:r>
            <w:r w:rsidRPr="00E53971">
              <w:rPr>
                <w:lang w:val="es-ES"/>
              </w:rPr>
              <w:t>(</w:t>
            </w:r>
            <w:proofErr w:type="spellStart"/>
            <w:r w:rsidRPr="0068181D">
              <w:rPr>
                <w:i/>
                <w:lang w:val="es-ES" w:eastAsia="en-GB" w:bidi="en-GB"/>
              </w:rPr>
              <w:t>Purchasers</w:t>
            </w:r>
            <w:proofErr w:type="spellEnd"/>
            <w:r>
              <w:rPr>
                <w:lang w:val="es-ES"/>
              </w:rPr>
              <w:t xml:space="preserve">) bajo el </w:t>
            </w:r>
            <w:r w:rsidRPr="0068181D">
              <w:rPr>
                <w:lang w:val="es-ES"/>
              </w:rPr>
              <w:t>Contrato de Compra de Instrumentos de Deuda</w:t>
            </w:r>
            <w:r w:rsidRPr="0068181D">
              <w:rPr>
                <w:i/>
                <w:lang w:val="es-ES"/>
              </w:rPr>
              <w:t xml:space="preserve"> </w:t>
            </w:r>
            <w:r w:rsidRPr="0068181D">
              <w:rPr>
                <w:lang w:val="es-ES"/>
              </w:rPr>
              <w:t>PP</w:t>
            </w:r>
            <w:r>
              <w:rPr>
                <w:lang w:val="es-ES"/>
              </w:rPr>
              <w:t xml:space="preserve"> </w:t>
            </w:r>
            <w:r w:rsidRPr="0024367D">
              <w:rPr>
                <w:lang w:val="es-ES"/>
              </w:rPr>
              <w:t>(</w:t>
            </w:r>
            <w:r w:rsidRPr="0068181D">
              <w:rPr>
                <w:i/>
                <w:lang w:val="es-ES" w:eastAsia="en-GB" w:bidi="en-GB"/>
              </w:rPr>
              <w:t xml:space="preserve">PP Debt </w:t>
            </w:r>
            <w:r w:rsidRPr="0068181D">
              <w:rPr>
                <w:i/>
                <w:lang w:val="es-ES" w:eastAsia="en-GB" w:bidi="en-GB"/>
              </w:rPr>
              <w:lastRenderedPageBreak/>
              <w:t xml:space="preserve">Note </w:t>
            </w:r>
            <w:proofErr w:type="spellStart"/>
            <w:r w:rsidRPr="0068181D">
              <w:rPr>
                <w:i/>
                <w:lang w:val="es-ES" w:eastAsia="en-GB" w:bidi="en-GB"/>
              </w:rPr>
              <w:t>Purchase</w:t>
            </w:r>
            <w:proofErr w:type="spellEnd"/>
            <w:r w:rsidRPr="0068181D">
              <w:rPr>
                <w:i/>
                <w:lang w:val="es-ES" w:eastAsia="en-GB" w:bidi="en-GB"/>
              </w:rPr>
              <w:t xml:space="preserve"> </w:t>
            </w:r>
            <w:proofErr w:type="spellStart"/>
            <w:r w:rsidRPr="0068181D">
              <w:rPr>
                <w:i/>
                <w:lang w:val="es-ES" w:eastAsia="en-GB" w:bidi="en-GB"/>
              </w:rPr>
              <w:t>Agreement</w:t>
            </w:r>
            <w:proofErr w:type="spellEnd"/>
            <w:r w:rsidRPr="0024367D">
              <w:rPr>
                <w:lang w:val="es-ES"/>
              </w:rPr>
              <w:t xml:space="preserve">) </w:t>
            </w:r>
            <w:r w:rsidRPr="00E53971">
              <w:rPr>
                <w:lang w:val="es-ES"/>
              </w:rPr>
              <w:t xml:space="preserve">(tal y como este término se define a continuación), junto con cualquiera de sus cesionarios o aquellas entidades que en cada momento ostenten tal condición bajo el mismo, serán referidas conjuntamente como las </w:t>
            </w:r>
            <w:r>
              <w:rPr>
                <w:b/>
                <w:lang w:val="es-ES"/>
              </w:rPr>
              <w:t>Compradoras Originales</w:t>
            </w:r>
            <w:r w:rsidRPr="00E53971">
              <w:rPr>
                <w:lang w:val="es-ES"/>
              </w:rPr>
              <w:t xml:space="preserve">, y cada una de ellas, una </w:t>
            </w:r>
            <w:r>
              <w:rPr>
                <w:b/>
                <w:lang w:val="es-ES"/>
              </w:rPr>
              <w:t>Compradora Original</w:t>
            </w:r>
            <w:r w:rsidRPr="00E53971">
              <w:rPr>
                <w:lang w:val="es-ES"/>
              </w:rPr>
              <w:t>.</w:t>
            </w:r>
          </w:p>
        </w:tc>
        <w:tc>
          <w:tcPr>
            <w:tcW w:w="2500" w:type="pct"/>
            <w:shd w:val="clear" w:color="auto" w:fill="auto"/>
          </w:tcPr>
          <w:p w14:paraId="56B57E41" w14:textId="3553A365" w:rsidR="00A4422A" w:rsidRPr="00901F23" w:rsidRDefault="00A4422A" w:rsidP="00F25678">
            <w:pPr>
              <w:pStyle w:val="AODocTxt"/>
            </w:pPr>
            <w:r>
              <w:lastRenderedPageBreak/>
              <w:t xml:space="preserve">The entities listed in sections </w:t>
            </w:r>
            <w:r w:rsidR="00F25678" w:rsidRPr="00F25678">
              <w:t>(47)</w:t>
            </w:r>
            <w:r w:rsidRPr="006F0C8A">
              <w:t xml:space="preserve"> </w:t>
            </w:r>
            <w:r>
              <w:t>to</w:t>
            </w:r>
            <w:r w:rsidRPr="006F0C8A">
              <w:t xml:space="preserve"> </w:t>
            </w:r>
            <w:r w:rsidR="00F25678" w:rsidRPr="00F25678">
              <w:t>(54)</w:t>
            </w:r>
            <w:r>
              <w:t xml:space="preserve"> above (both included)</w:t>
            </w:r>
            <w:r w:rsidRPr="00901F23">
              <w:t xml:space="preserve"> as </w:t>
            </w:r>
            <w:r>
              <w:t>the purchasers</w:t>
            </w:r>
            <w:r w:rsidRPr="00901F23">
              <w:t xml:space="preserve"> under the </w:t>
            </w:r>
            <w:r w:rsidRPr="0068181D">
              <w:rPr>
                <w:lang w:eastAsia="en-GB" w:bidi="en-GB"/>
              </w:rPr>
              <w:t>PP Debt Note Purchase Agreement</w:t>
            </w:r>
            <w:r w:rsidRPr="0068181D">
              <w:t xml:space="preserve"> </w:t>
            </w:r>
            <w:r w:rsidRPr="00901F23">
              <w:t xml:space="preserve">(as this term is defined below), together with any of its assignees and </w:t>
            </w:r>
            <w:r w:rsidRPr="00901F23">
              <w:lastRenderedPageBreak/>
              <w:t xml:space="preserve">transferees or entities holding such position from time to time thereunder, will be jointly referred to as the </w:t>
            </w:r>
            <w:r w:rsidRPr="00CF5D89">
              <w:rPr>
                <w:b/>
              </w:rPr>
              <w:t xml:space="preserve">Original </w:t>
            </w:r>
            <w:r>
              <w:rPr>
                <w:b/>
              </w:rPr>
              <w:t>Purchasers</w:t>
            </w:r>
            <w:r w:rsidRPr="00901F23">
              <w:t xml:space="preserve">, and each of them </w:t>
            </w:r>
            <w:r>
              <w:t xml:space="preserve">as </w:t>
            </w:r>
            <w:r w:rsidRPr="00901F23">
              <w:t>a</w:t>
            </w:r>
            <w:r>
              <w:t xml:space="preserve">n </w:t>
            </w:r>
            <w:r w:rsidRPr="00CF5D89">
              <w:rPr>
                <w:b/>
              </w:rPr>
              <w:t>Original</w:t>
            </w:r>
            <w:r>
              <w:t xml:space="preserve"> </w:t>
            </w:r>
            <w:r>
              <w:rPr>
                <w:b/>
              </w:rPr>
              <w:t>Purchaser</w:t>
            </w:r>
            <w:r w:rsidRPr="00901F23">
              <w:t>.</w:t>
            </w:r>
          </w:p>
        </w:tc>
      </w:tr>
      <w:tr w:rsidR="0080628F" w:rsidRPr="00847DF9" w14:paraId="3B30DC4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3C6DFD7" w14:textId="77777777" w:rsidR="0080628F" w:rsidRPr="00847DF9" w:rsidRDefault="0080628F" w:rsidP="00137772">
            <w:pPr>
              <w:pStyle w:val="AODocTxt"/>
              <w:rPr>
                <w:b/>
              </w:rPr>
            </w:pPr>
            <w:r w:rsidRPr="00847DF9">
              <w:rPr>
                <w:b/>
              </w:rPr>
              <w:lastRenderedPageBreak/>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5F863875" w14:textId="77777777" w:rsidR="0080628F" w:rsidRPr="00847DF9" w:rsidRDefault="0080628F" w:rsidP="0080628F">
            <w:pPr>
              <w:pStyle w:val="AODocTxt"/>
              <w:rPr>
                <w:b/>
              </w:rPr>
            </w:pPr>
            <w:r w:rsidRPr="00847DF9">
              <w:rPr>
                <w:b/>
              </w:rPr>
              <w:t>On the other hand,</w:t>
            </w:r>
          </w:p>
        </w:tc>
      </w:tr>
      <w:tr w:rsidR="0080628F" w:rsidRPr="00847DF9" w14:paraId="1C478B2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C7FB90E" w14:textId="4F7DA595" w:rsidR="0080628F" w:rsidRPr="00FC0066" w:rsidRDefault="0080628F" w:rsidP="0080628F">
            <w:pPr>
              <w:pStyle w:val="AO1"/>
              <w:rPr>
                <w:bCs/>
                <w:lang w:val="es-ES"/>
              </w:rPr>
            </w:pPr>
            <w:bookmarkStart w:id="33" w:name="_Ref86174305"/>
            <w:r w:rsidRPr="00FC0066">
              <w:rPr>
                <w:b/>
                <w:bCs/>
                <w:lang w:val="es-ES"/>
              </w:rPr>
              <w:t>INFRASTRUCTURE FINANCE AHO S.À R.L.</w:t>
            </w:r>
            <w:r w:rsidRPr="00FC0066">
              <w:rPr>
                <w:bCs/>
                <w:lang w:val="es-ES"/>
              </w:rPr>
              <w:t>,</w:t>
            </w:r>
            <w:r w:rsidRPr="00FC0066">
              <w:rPr>
                <w:b/>
                <w:bCs/>
                <w:lang w:val="es-ES"/>
              </w:rPr>
              <w:t xml:space="preserve"> </w:t>
            </w:r>
            <w:r w:rsidRPr="0080628F">
              <w:rPr>
                <w:b/>
                <w:bCs/>
                <w:lang w:val="es-ES"/>
              </w:rPr>
              <w:t xml:space="preserve">actuando a través y en </w:t>
            </w:r>
            <w:r>
              <w:rPr>
                <w:b/>
                <w:bCs/>
                <w:lang w:val="es-ES"/>
              </w:rPr>
              <w:t>relación con</w:t>
            </w:r>
            <w:r w:rsidRPr="0080628F">
              <w:rPr>
                <w:b/>
                <w:bCs/>
                <w:lang w:val="es-ES"/>
              </w:rPr>
              <w:t xml:space="preserve"> su Compartimento AHO1</w:t>
            </w:r>
            <w:bookmarkEnd w:id="33"/>
          </w:p>
        </w:tc>
        <w:tc>
          <w:tcPr>
            <w:tcW w:w="2500" w:type="pct"/>
            <w:shd w:val="clear" w:color="auto" w:fill="auto"/>
          </w:tcPr>
          <w:p w14:paraId="2AEB3471" w14:textId="77777777" w:rsidR="0080628F" w:rsidRPr="00847DF9" w:rsidRDefault="0080628F" w:rsidP="007E2625">
            <w:pPr>
              <w:pStyle w:val="AODocTxt"/>
              <w:numPr>
                <w:ilvl w:val="0"/>
                <w:numId w:val="33"/>
              </w:numPr>
              <w:ind w:hanging="720"/>
            </w:pPr>
            <w:bookmarkStart w:id="34" w:name="_Ref86174502"/>
            <w:r w:rsidRPr="00B53048">
              <w:rPr>
                <w:b/>
              </w:rPr>
              <w:t>INFRASTRUCTURE FINANCE AHO S.À R.L</w:t>
            </w:r>
            <w:r w:rsidRPr="0080628F">
              <w:rPr>
                <w:b/>
              </w:rPr>
              <w:t>., acting through and in respect of its Compartment AHO1</w:t>
            </w:r>
            <w:bookmarkEnd w:id="34"/>
          </w:p>
        </w:tc>
      </w:tr>
      <w:tr w:rsidR="0080628F" w:rsidRPr="00847DF9" w14:paraId="466CC0E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FB2F2B1" w14:textId="016E981C" w:rsidR="0080628F" w:rsidRPr="00FC0066" w:rsidRDefault="0080628F" w:rsidP="0080628F">
            <w:pPr>
              <w:pStyle w:val="AO1"/>
              <w:rPr>
                <w:b/>
                <w:bCs/>
                <w:lang w:val="es-ES"/>
              </w:rPr>
            </w:pPr>
            <w:bookmarkStart w:id="35" w:name="_Ref86174322"/>
            <w:r w:rsidRPr="00FC0066">
              <w:rPr>
                <w:b/>
                <w:bCs/>
                <w:lang w:val="es-ES"/>
              </w:rPr>
              <w:t>INFRASTRUCTURE FINANCE AHO S.À R.L.</w:t>
            </w:r>
            <w:r w:rsidRPr="00FC0066">
              <w:rPr>
                <w:bCs/>
                <w:lang w:val="es-ES"/>
              </w:rPr>
              <w:t>,</w:t>
            </w:r>
            <w:r w:rsidRPr="00FC0066">
              <w:rPr>
                <w:b/>
                <w:bCs/>
                <w:lang w:val="es-ES"/>
              </w:rPr>
              <w:t xml:space="preserve"> </w:t>
            </w:r>
            <w:r w:rsidRPr="0080628F">
              <w:rPr>
                <w:b/>
                <w:bCs/>
                <w:lang w:val="es-ES"/>
              </w:rPr>
              <w:t>actuando a través y en relación con su Compartimento AHO2</w:t>
            </w:r>
            <w:bookmarkEnd w:id="35"/>
          </w:p>
        </w:tc>
        <w:tc>
          <w:tcPr>
            <w:tcW w:w="2500" w:type="pct"/>
            <w:shd w:val="clear" w:color="auto" w:fill="auto"/>
          </w:tcPr>
          <w:p w14:paraId="0F157D18" w14:textId="77777777" w:rsidR="0080628F" w:rsidRPr="00B53048" w:rsidRDefault="0080628F" w:rsidP="007E2625">
            <w:pPr>
              <w:pStyle w:val="AODocTxt"/>
              <w:numPr>
                <w:ilvl w:val="0"/>
                <w:numId w:val="33"/>
              </w:numPr>
              <w:ind w:hanging="720"/>
              <w:rPr>
                <w:b/>
              </w:rPr>
            </w:pPr>
            <w:bookmarkStart w:id="36" w:name="_Ref86174510"/>
            <w:r w:rsidRPr="00B53048">
              <w:rPr>
                <w:b/>
                <w:bCs/>
              </w:rPr>
              <w:t>INFRASTRUCTURE FINANCE AHO S.À R</w:t>
            </w:r>
            <w:r w:rsidRPr="0080628F">
              <w:rPr>
                <w:b/>
                <w:bCs/>
              </w:rPr>
              <w:t>.L., acting in respect of its Compartment AHO2</w:t>
            </w:r>
            <w:bookmarkEnd w:id="36"/>
          </w:p>
        </w:tc>
      </w:tr>
      <w:tr w:rsidR="0080628F" w:rsidRPr="00847DF9" w14:paraId="5692B53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5307CA9" w14:textId="47DFDBE8" w:rsidR="0080628F" w:rsidRPr="00E53971" w:rsidRDefault="0080628F" w:rsidP="00F25678">
            <w:pPr>
              <w:pStyle w:val="AODocTxt"/>
              <w:rPr>
                <w:lang w:val="es-ES"/>
              </w:rPr>
            </w:pPr>
            <w:r>
              <w:rPr>
                <w:lang w:val="es-ES"/>
              </w:rPr>
              <w:t xml:space="preserve">Las entidades enumeradas en los apartados </w:t>
            </w:r>
            <w:r w:rsidR="00F25678">
              <w:rPr>
                <w:lang w:val="es-ES"/>
              </w:rPr>
              <w:t>(55)</w:t>
            </w:r>
            <w:r>
              <w:rPr>
                <w:lang w:val="es-ES"/>
              </w:rPr>
              <w:t xml:space="preserve"> a </w:t>
            </w:r>
            <w:r w:rsidR="00F25678">
              <w:rPr>
                <w:lang w:val="es-ES"/>
              </w:rPr>
              <w:t>(56)</w:t>
            </w:r>
            <w:r>
              <w:rPr>
                <w:lang w:val="es-ES"/>
              </w:rPr>
              <w:t xml:space="preserve"> anteriores (ambas inclusive)</w:t>
            </w:r>
            <w:r w:rsidRPr="00E53971">
              <w:rPr>
                <w:lang w:val="es-ES"/>
              </w:rPr>
              <w:t xml:space="preserve"> en su condición de </w:t>
            </w:r>
            <w:r>
              <w:rPr>
                <w:lang w:val="es-ES"/>
              </w:rPr>
              <w:t xml:space="preserve">compradoras </w:t>
            </w:r>
            <w:r w:rsidRPr="00E53971">
              <w:rPr>
                <w:lang w:val="es-ES"/>
              </w:rPr>
              <w:t>(</w:t>
            </w:r>
            <w:r w:rsidRPr="0080628F">
              <w:rPr>
                <w:i/>
                <w:lang w:val="es-ES"/>
              </w:rPr>
              <w:t>Note</w:t>
            </w:r>
            <w:r>
              <w:rPr>
                <w:lang w:val="es-ES"/>
              </w:rPr>
              <w:t xml:space="preserve"> </w:t>
            </w:r>
            <w:proofErr w:type="spellStart"/>
            <w:r w:rsidRPr="0068181D">
              <w:rPr>
                <w:i/>
                <w:lang w:val="es-ES" w:eastAsia="en-GB" w:bidi="en-GB"/>
              </w:rPr>
              <w:t>Purchasers</w:t>
            </w:r>
            <w:proofErr w:type="spellEnd"/>
            <w:r>
              <w:rPr>
                <w:lang w:val="es-ES"/>
              </w:rPr>
              <w:t xml:space="preserve">) bajo el </w:t>
            </w:r>
            <w:r w:rsidRPr="0068181D">
              <w:rPr>
                <w:lang w:val="es-ES"/>
              </w:rPr>
              <w:t>Contrato de Compra de Instrumentos de Deuda</w:t>
            </w:r>
            <w:r w:rsidRPr="0068181D">
              <w:rPr>
                <w:i/>
                <w:lang w:val="es-ES"/>
              </w:rPr>
              <w:t xml:space="preserve"> </w:t>
            </w:r>
            <w:r w:rsidRPr="0080628F">
              <w:rPr>
                <w:lang w:val="es-ES"/>
              </w:rPr>
              <w:t xml:space="preserve">PP </w:t>
            </w:r>
            <w:r w:rsidR="00F726D8">
              <w:rPr>
                <w:lang w:val="es-ES"/>
              </w:rPr>
              <w:t xml:space="preserve">2021 </w:t>
            </w:r>
            <w:r w:rsidRPr="0024367D">
              <w:rPr>
                <w:lang w:val="es-ES"/>
              </w:rPr>
              <w:t>(</w:t>
            </w:r>
            <w:r w:rsidR="00131437">
              <w:rPr>
                <w:lang w:val="es-ES"/>
              </w:rPr>
              <w:t xml:space="preserve">2021 </w:t>
            </w:r>
            <w:r w:rsidRPr="0080628F">
              <w:rPr>
                <w:i/>
                <w:lang w:val="es-ES"/>
              </w:rPr>
              <w:t xml:space="preserve">PP Debt Note </w:t>
            </w:r>
            <w:proofErr w:type="spellStart"/>
            <w:r w:rsidRPr="0080628F">
              <w:rPr>
                <w:i/>
                <w:lang w:val="es-ES"/>
              </w:rPr>
              <w:t>Purchase</w:t>
            </w:r>
            <w:proofErr w:type="spellEnd"/>
            <w:r w:rsidRPr="0080628F">
              <w:rPr>
                <w:i/>
                <w:lang w:val="es-ES"/>
              </w:rPr>
              <w:t xml:space="preserve"> </w:t>
            </w:r>
            <w:proofErr w:type="spellStart"/>
            <w:r w:rsidRPr="0080628F">
              <w:rPr>
                <w:i/>
                <w:lang w:val="es-ES"/>
              </w:rPr>
              <w:t>Agreement</w:t>
            </w:r>
            <w:proofErr w:type="spellEnd"/>
            <w:r w:rsidRPr="0024367D">
              <w:rPr>
                <w:lang w:val="es-ES"/>
              </w:rPr>
              <w:t xml:space="preserve">) </w:t>
            </w:r>
            <w:r w:rsidRPr="00E53971">
              <w:rPr>
                <w:lang w:val="es-ES"/>
              </w:rPr>
              <w:t xml:space="preserve">(tal y como este término se define a continuación), junto con cualquiera de sus cesionarios o aquellas entidades que en cada momento ostenten tal condición bajo el mismo, serán referidas conjuntamente como las </w:t>
            </w:r>
            <w:r>
              <w:rPr>
                <w:b/>
                <w:lang w:val="es-ES"/>
              </w:rPr>
              <w:t>Compradoras de Bonos</w:t>
            </w:r>
            <w:r w:rsidRPr="00E53971">
              <w:rPr>
                <w:lang w:val="es-ES"/>
              </w:rPr>
              <w:t xml:space="preserve">, y cada una de ellas, una </w:t>
            </w:r>
            <w:r>
              <w:rPr>
                <w:b/>
                <w:lang w:val="es-ES"/>
              </w:rPr>
              <w:t>Compradora de Bonos</w:t>
            </w:r>
            <w:r w:rsidRPr="00E53971">
              <w:rPr>
                <w:lang w:val="es-ES"/>
              </w:rPr>
              <w:t>.</w:t>
            </w:r>
          </w:p>
        </w:tc>
        <w:tc>
          <w:tcPr>
            <w:tcW w:w="2500" w:type="pct"/>
            <w:shd w:val="clear" w:color="auto" w:fill="auto"/>
          </w:tcPr>
          <w:p w14:paraId="402B4213" w14:textId="61A50BCC" w:rsidR="0080628F" w:rsidRPr="00901F23" w:rsidRDefault="0080628F" w:rsidP="00F25678">
            <w:pPr>
              <w:pStyle w:val="AODocTxt"/>
            </w:pPr>
            <w:r>
              <w:t xml:space="preserve">The entities listed in sections </w:t>
            </w:r>
            <w:r w:rsidR="00F25678" w:rsidRPr="00F25678">
              <w:t>(55)</w:t>
            </w:r>
            <w:r w:rsidRPr="006F0C8A">
              <w:t xml:space="preserve"> </w:t>
            </w:r>
            <w:r>
              <w:t>to</w:t>
            </w:r>
            <w:r w:rsidRPr="006F0C8A">
              <w:t xml:space="preserve"> </w:t>
            </w:r>
            <w:r w:rsidR="00F25678" w:rsidRPr="00F25678">
              <w:t>(56)</w:t>
            </w:r>
            <w:r>
              <w:t xml:space="preserve"> above (both included)</w:t>
            </w:r>
            <w:r w:rsidRPr="00901F23">
              <w:t xml:space="preserve"> as </w:t>
            </w:r>
            <w:r>
              <w:t xml:space="preserve">the </w:t>
            </w:r>
            <w:r w:rsidR="00497167">
              <w:t xml:space="preserve">notes </w:t>
            </w:r>
            <w:r>
              <w:t>purchasers</w:t>
            </w:r>
            <w:r w:rsidRPr="00901F23">
              <w:t xml:space="preserve"> under the</w:t>
            </w:r>
            <w:r w:rsidR="00F726D8">
              <w:t xml:space="preserve"> 2021</w:t>
            </w:r>
            <w:r w:rsidR="001569A2">
              <w:t xml:space="preserve"> </w:t>
            </w:r>
            <w:r w:rsidRPr="0068181D">
              <w:rPr>
                <w:lang w:eastAsia="en-GB" w:bidi="en-GB"/>
              </w:rPr>
              <w:t>PP Debt Note Purchase Agreement</w:t>
            </w:r>
            <w:r w:rsidRPr="0068181D">
              <w:t xml:space="preserve"> </w:t>
            </w:r>
            <w:r w:rsidRPr="00901F23">
              <w:t xml:space="preserve">(as this term is defined below), together with any of its assignees and transferees or entities holding such position from time to time thereunder, will be jointly referred to as the </w:t>
            </w:r>
            <w:r>
              <w:rPr>
                <w:b/>
              </w:rPr>
              <w:t>Note Purchasers</w:t>
            </w:r>
            <w:r w:rsidRPr="00901F23">
              <w:t xml:space="preserve">, and each of them </w:t>
            </w:r>
            <w:r>
              <w:t xml:space="preserve">as </w:t>
            </w:r>
            <w:r w:rsidRPr="00901F23">
              <w:t>a</w:t>
            </w:r>
            <w:r>
              <w:t xml:space="preserve">n </w:t>
            </w:r>
            <w:r>
              <w:rPr>
                <w:b/>
              </w:rPr>
              <w:t>Note</w:t>
            </w:r>
            <w:r>
              <w:t xml:space="preserve"> </w:t>
            </w:r>
            <w:r>
              <w:rPr>
                <w:b/>
              </w:rPr>
              <w:t>Purchaser</w:t>
            </w:r>
            <w:r w:rsidRPr="00901F23">
              <w:t>.</w:t>
            </w:r>
          </w:p>
        </w:tc>
      </w:tr>
      <w:tr w:rsidR="00244FAC" w:rsidRPr="00847DF9" w14:paraId="5B48723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53E9815" w14:textId="77777777" w:rsidR="00244FAC" w:rsidRPr="00847DF9" w:rsidRDefault="00244FAC" w:rsidP="00137772">
            <w:pPr>
              <w:pStyle w:val="AODocTxt"/>
              <w:rPr>
                <w:b/>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5D5D31B2" w14:textId="77777777" w:rsidR="00244FAC" w:rsidRPr="00847DF9" w:rsidRDefault="00244FAC" w:rsidP="00244FAC">
            <w:pPr>
              <w:pStyle w:val="AODocTxt"/>
              <w:rPr>
                <w:b/>
              </w:rPr>
            </w:pPr>
            <w:r w:rsidRPr="00847DF9">
              <w:rPr>
                <w:b/>
              </w:rPr>
              <w:t>On the other hand,</w:t>
            </w:r>
          </w:p>
        </w:tc>
      </w:tr>
      <w:tr w:rsidR="00244FAC" w:rsidRPr="00CD7F22" w14:paraId="475F184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552D884" w14:textId="0E6A00CE" w:rsidR="00244FAC" w:rsidRPr="005B3033" w:rsidRDefault="00244FAC" w:rsidP="00244FAC">
            <w:pPr>
              <w:pStyle w:val="AO1"/>
              <w:rPr>
                <w:b/>
                <w:bCs/>
                <w:lang w:val="pt-PT"/>
              </w:rPr>
            </w:pPr>
            <w:bookmarkStart w:id="37" w:name="_Ref100399527"/>
            <w:r w:rsidRPr="005B3033">
              <w:rPr>
                <w:b/>
                <w:lang w:val="pt-PT"/>
              </w:rPr>
              <w:t>VG AIGSL EU PD S.À R.L.</w:t>
            </w:r>
            <w:bookmarkEnd w:id="37"/>
          </w:p>
        </w:tc>
        <w:tc>
          <w:tcPr>
            <w:tcW w:w="2500" w:type="pct"/>
            <w:shd w:val="clear" w:color="auto" w:fill="auto"/>
          </w:tcPr>
          <w:p w14:paraId="5648F154" w14:textId="77777777" w:rsidR="00244FAC" w:rsidRPr="005B3033" w:rsidRDefault="00244FAC" w:rsidP="007E2625">
            <w:pPr>
              <w:pStyle w:val="AODocTxt"/>
              <w:numPr>
                <w:ilvl w:val="0"/>
                <w:numId w:val="33"/>
              </w:numPr>
              <w:ind w:hanging="720"/>
              <w:rPr>
                <w:b/>
                <w:lang w:val="pt-PT"/>
              </w:rPr>
            </w:pPr>
            <w:bookmarkStart w:id="38" w:name="_Ref100399546"/>
            <w:r w:rsidRPr="005B3033">
              <w:rPr>
                <w:b/>
                <w:lang w:val="pt-PT"/>
              </w:rPr>
              <w:t>VG AIGSL EU PD S.À R.L.</w:t>
            </w:r>
            <w:bookmarkEnd w:id="38"/>
          </w:p>
        </w:tc>
      </w:tr>
      <w:tr w:rsidR="00244FAC" w:rsidRPr="00244FAC" w14:paraId="26FCBF2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6324F4E" w14:textId="77777777" w:rsidR="00244FAC" w:rsidRPr="00244FAC" w:rsidRDefault="00244FAC" w:rsidP="00244FAC">
            <w:pPr>
              <w:pStyle w:val="AO1"/>
              <w:rPr>
                <w:b/>
              </w:rPr>
            </w:pPr>
            <w:r w:rsidRPr="00244FAC">
              <w:rPr>
                <w:b/>
              </w:rPr>
              <w:t>SHAMROCK INFRASTRUCTURE DEBT COMPANY UNDERSHAFT GBP DESIGNATED ACTIVITY COMPANY</w:t>
            </w:r>
          </w:p>
        </w:tc>
        <w:tc>
          <w:tcPr>
            <w:tcW w:w="2500" w:type="pct"/>
            <w:shd w:val="clear" w:color="auto" w:fill="auto"/>
          </w:tcPr>
          <w:p w14:paraId="73192711" w14:textId="77777777" w:rsidR="00244FAC" w:rsidRPr="00244FAC" w:rsidRDefault="00244FAC" w:rsidP="007E2625">
            <w:pPr>
              <w:pStyle w:val="AODocTxt"/>
              <w:numPr>
                <w:ilvl w:val="0"/>
                <w:numId w:val="33"/>
              </w:numPr>
              <w:ind w:hanging="720"/>
              <w:rPr>
                <w:b/>
              </w:rPr>
            </w:pPr>
            <w:r w:rsidRPr="00244FAC">
              <w:rPr>
                <w:b/>
              </w:rPr>
              <w:t>SHAMROCK INFRASTRUCTURE DEBT COMPANY UNDERSHAFT GBP DESIGNATED ACTIVITY COMPANY</w:t>
            </w:r>
          </w:p>
        </w:tc>
      </w:tr>
      <w:tr w:rsidR="00244FAC" w:rsidRPr="00244FAC" w14:paraId="7E9A977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93EC889" w14:textId="77777777" w:rsidR="00244FAC" w:rsidRPr="00244FAC" w:rsidRDefault="00244FAC" w:rsidP="00244FAC">
            <w:pPr>
              <w:pStyle w:val="AO1"/>
              <w:rPr>
                <w:b/>
              </w:rPr>
            </w:pPr>
            <w:r w:rsidRPr="00244FAC">
              <w:rPr>
                <w:b/>
              </w:rPr>
              <w:t>AVIVA LIFE &amp; PENSIONS UK LIMITED</w:t>
            </w:r>
          </w:p>
        </w:tc>
        <w:tc>
          <w:tcPr>
            <w:tcW w:w="2500" w:type="pct"/>
            <w:shd w:val="clear" w:color="auto" w:fill="auto"/>
          </w:tcPr>
          <w:p w14:paraId="08A0098A" w14:textId="77777777" w:rsidR="00244FAC" w:rsidRPr="00244FAC" w:rsidRDefault="00244FAC" w:rsidP="007E2625">
            <w:pPr>
              <w:pStyle w:val="AODocTxt"/>
              <w:numPr>
                <w:ilvl w:val="0"/>
                <w:numId w:val="33"/>
              </w:numPr>
              <w:ind w:hanging="720"/>
              <w:rPr>
                <w:b/>
              </w:rPr>
            </w:pPr>
            <w:r w:rsidRPr="00244FAC">
              <w:rPr>
                <w:b/>
              </w:rPr>
              <w:t>AVIVA LIFE &amp; PENSIONS UK LIMITED</w:t>
            </w:r>
          </w:p>
        </w:tc>
      </w:tr>
      <w:tr w:rsidR="00244FAC" w:rsidRPr="00244FAC" w14:paraId="29B913B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BB1DA79" w14:textId="77777777" w:rsidR="00244FAC" w:rsidRPr="00244FAC" w:rsidRDefault="00244FAC" w:rsidP="00244FAC">
            <w:pPr>
              <w:pStyle w:val="AO1"/>
              <w:rPr>
                <w:b/>
              </w:rPr>
            </w:pPr>
            <w:r w:rsidRPr="00244FAC">
              <w:rPr>
                <w:b/>
              </w:rPr>
              <w:t>METROPOLITAN TOWER LIFE INSURANCE COMPANY</w:t>
            </w:r>
          </w:p>
        </w:tc>
        <w:tc>
          <w:tcPr>
            <w:tcW w:w="2500" w:type="pct"/>
            <w:shd w:val="clear" w:color="auto" w:fill="auto"/>
          </w:tcPr>
          <w:p w14:paraId="4116FB72" w14:textId="77777777" w:rsidR="00244FAC" w:rsidRPr="00244FAC" w:rsidRDefault="00244FAC" w:rsidP="007E2625">
            <w:pPr>
              <w:pStyle w:val="AODocTxt"/>
              <w:numPr>
                <w:ilvl w:val="0"/>
                <w:numId w:val="33"/>
              </w:numPr>
              <w:ind w:hanging="720"/>
              <w:rPr>
                <w:b/>
              </w:rPr>
            </w:pPr>
            <w:r w:rsidRPr="00244FAC">
              <w:rPr>
                <w:b/>
              </w:rPr>
              <w:t>METROPOLITAN TOWER LIFE INSURANCE COMPANY</w:t>
            </w:r>
          </w:p>
        </w:tc>
      </w:tr>
      <w:tr w:rsidR="00244FAC" w:rsidRPr="00244FAC" w14:paraId="70F86E4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C352785" w14:textId="77777777" w:rsidR="00244FAC" w:rsidRPr="00244FAC" w:rsidRDefault="00244FAC" w:rsidP="00244FAC">
            <w:pPr>
              <w:pStyle w:val="AO1"/>
              <w:rPr>
                <w:b/>
              </w:rPr>
            </w:pPr>
            <w:r w:rsidRPr="00244FAC">
              <w:rPr>
                <w:b/>
                <w:lang w:val="es-ES"/>
              </w:rPr>
              <w:t>METLIFE EUROPE D.A.C.</w:t>
            </w:r>
          </w:p>
        </w:tc>
        <w:tc>
          <w:tcPr>
            <w:tcW w:w="2500" w:type="pct"/>
            <w:shd w:val="clear" w:color="auto" w:fill="auto"/>
          </w:tcPr>
          <w:p w14:paraId="5E39F853" w14:textId="77777777" w:rsidR="00244FAC" w:rsidRPr="00244FAC" w:rsidRDefault="00244FAC" w:rsidP="007E2625">
            <w:pPr>
              <w:pStyle w:val="AODocTxt"/>
              <w:numPr>
                <w:ilvl w:val="0"/>
                <w:numId w:val="33"/>
              </w:numPr>
              <w:ind w:hanging="720"/>
              <w:rPr>
                <w:b/>
              </w:rPr>
            </w:pPr>
            <w:r w:rsidRPr="00244FAC">
              <w:rPr>
                <w:b/>
                <w:lang w:val="es-ES"/>
              </w:rPr>
              <w:t>METLIFE EUROPE D.A.C.</w:t>
            </w:r>
          </w:p>
        </w:tc>
      </w:tr>
      <w:tr w:rsidR="00244FAC" w:rsidRPr="00244FAC" w14:paraId="60D8B68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5AB89BD" w14:textId="77777777" w:rsidR="00244FAC" w:rsidRPr="00244FAC" w:rsidRDefault="00244FAC" w:rsidP="00244FAC">
            <w:pPr>
              <w:pStyle w:val="AO1"/>
              <w:rPr>
                <w:b/>
                <w:lang w:val="es-ES"/>
              </w:rPr>
            </w:pPr>
            <w:r>
              <w:rPr>
                <w:b/>
                <w:lang w:val="en-IE"/>
              </w:rPr>
              <w:t>IST3 INVESTMENT FOUNDATION</w:t>
            </w:r>
          </w:p>
        </w:tc>
        <w:tc>
          <w:tcPr>
            <w:tcW w:w="2500" w:type="pct"/>
            <w:shd w:val="clear" w:color="auto" w:fill="auto"/>
          </w:tcPr>
          <w:p w14:paraId="20CFD986" w14:textId="77777777" w:rsidR="00244FAC" w:rsidRPr="00244FAC" w:rsidRDefault="00244FAC" w:rsidP="007E2625">
            <w:pPr>
              <w:pStyle w:val="AODocTxt"/>
              <w:numPr>
                <w:ilvl w:val="0"/>
                <w:numId w:val="33"/>
              </w:numPr>
              <w:ind w:hanging="720"/>
              <w:rPr>
                <w:b/>
                <w:lang w:val="es-ES"/>
              </w:rPr>
            </w:pPr>
            <w:r>
              <w:rPr>
                <w:b/>
                <w:lang w:val="en-IE"/>
              </w:rPr>
              <w:t>IST3 INVESTMENT FOUNDATION</w:t>
            </w:r>
          </w:p>
        </w:tc>
      </w:tr>
      <w:tr w:rsidR="00244FAC" w:rsidRPr="00244FAC" w14:paraId="3B35C21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4E04D5C" w14:textId="77777777" w:rsidR="00244FAC" w:rsidRPr="00244FAC" w:rsidRDefault="00244FAC" w:rsidP="00244FAC">
            <w:pPr>
              <w:pStyle w:val="AO1"/>
              <w:rPr>
                <w:b/>
                <w:lang w:val="en-IE"/>
              </w:rPr>
            </w:pPr>
            <w:r w:rsidRPr="00244FAC">
              <w:rPr>
                <w:b/>
              </w:rPr>
              <w:t>METROPOLITAN LIFE INSURANCE COMPANY</w:t>
            </w:r>
          </w:p>
        </w:tc>
        <w:tc>
          <w:tcPr>
            <w:tcW w:w="2500" w:type="pct"/>
            <w:shd w:val="clear" w:color="auto" w:fill="auto"/>
          </w:tcPr>
          <w:p w14:paraId="5C04B237" w14:textId="77777777" w:rsidR="00244FAC" w:rsidRPr="00244FAC" w:rsidRDefault="00244FAC" w:rsidP="007E2625">
            <w:pPr>
              <w:pStyle w:val="AODocTxt"/>
              <w:numPr>
                <w:ilvl w:val="0"/>
                <w:numId w:val="33"/>
              </w:numPr>
              <w:ind w:hanging="720"/>
              <w:rPr>
                <w:b/>
                <w:lang w:val="en-IE"/>
              </w:rPr>
            </w:pPr>
            <w:r w:rsidRPr="00244FAC">
              <w:rPr>
                <w:b/>
              </w:rPr>
              <w:t>METROPOLITAN LIFE INSURANCE COMPANY</w:t>
            </w:r>
          </w:p>
        </w:tc>
      </w:tr>
      <w:tr w:rsidR="00244FAC" w:rsidRPr="00244FAC" w14:paraId="22ED558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864E672" w14:textId="3645138B" w:rsidR="00244FAC" w:rsidRPr="00244FAC" w:rsidRDefault="00244FAC" w:rsidP="00244FAC">
            <w:pPr>
              <w:pStyle w:val="AO1"/>
              <w:rPr>
                <w:b/>
              </w:rPr>
            </w:pPr>
            <w:bookmarkStart w:id="39" w:name="_Ref100399536"/>
            <w:r w:rsidRPr="00244FAC">
              <w:rPr>
                <w:b/>
                <w:lang w:eastAsia="ja-JP"/>
              </w:rPr>
              <w:t>METLIFE INSURANCE K.K.</w:t>
            </w:r>
            <w:bookmarkEnd w:id="39"/>
          </w:p>
        </w:tc>
        <w:tc>
          <w:tcPr>
            <w:tcW w:w="2500" w:type="pct"/>
            <w:shd w:val="clear" w:color="auto" w:fill="auto"/>
          </w:tcPr>
          <w:p w14:paraId="71E96C51" w14:textId="77777777" w:rsidR="00244FAC" w:rsidRPr="00244FAC" w:rsidRDefault="00244FAC" w:rsidP="007E2625">
            <w:pPr>
              <w:pStyle w:val="AODocTxt"/>
              <w:numPr>
                <w:ilvl w:val="0"/>
                <w:numId w:val="33"/>
              </w:numPr>
              <w:ind w:hanging="720"/>
              <w:rPr>
                <w:b/>
              </w:rPr>
            </w:pPr>
            <w:bookmarkStart w:id="40" w:name="_Ref100399560"/>
            <w:r w:rsidRPr="00244FAC">
              <w:rPr>
                <w:b/>
                <w:lang w:eastAsia="ja-JP"/>
              </w:rPr>
              <w:t>METLIFE INSURANCE K.K.</w:t>
            </w:r>
            <w:bookmarkEnd w:id="40"/>
          </w:p>
        </w:tc>
      </w:tr>
      <w:tr w:rsidR="00244FAC" w:rsidRPr="00244FAC" w14:paraId="17FA966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5F6669F" w14:textId="7202EF44" w:rsidR="00244FAC" w:rsidRPr="00EE4390" w:rsidRDefault="00244FAC" w:rsidP="00F25678">
            <w:pPr>
              <w:pStyle w:val="AODocTxt"/>
              <w:rPr>
                <w:lang w:val="es-ES"/>
              </w:rPr>
            </w:pPr>
            <w:r w:rsidRPr="00EE4390">
              <w:rPr>
                <w:lang w:val="es-ES"/>
              </w:rPr>
              <w:t xml:space="preserve">Las entidades enumeradas en los apartados </w:t>
            </w:r>
            <w:r w:rsidR="00F25678">
              <w:rPr>
                <w:lang w:val="es-ES"/>
              </w:rPr>
              <w:t>(57)</w:t>
            </w:r>
            <w:r w:rsidRPr="00EE4390">
              <w:rPr>
                <w:lang w:val="es-ES"/>
              </w:rPr>
              <w:t xml:space="preserve"> a </w:t>
            </w:r>
            <w:r w:rsidR="00F25678">
              <w:rPr>
                <w:lang w:val="es-ES"/>
              </w:rPr>
              <w:t>(64)</w:t>
            </w:r>
            <w:r w:rsidRPr="00EE4390">
              <w:rPr>
                <w:lang w:val="es-ES"/>
              </w:rPr>
              <w:t xml:space="preserve"> anteriores (ambas inclusive) en su condición de </w:t>
            </w:r>
            <w:r w:rsidRPr="00EE4390">
              <w:rPr>
                <w:lang w:val="es-ES"/>
              </w:rPr>
              <w:lastRenderedPageBreak/>
              <w:t>compradoras (</w:t>
            </w:r>
            <w:r w:rsidRPr="00EE4390">
              <w:rPr>
                <w:i/>
                <w:lang w:val="es-ES"/>
              </w:rPr>
              <w:t>Note</w:t>
            </w:r>
            <w:r w:rsidRPr="00EE4390">
              <w:rPr>
                <w:lang w:val="es-ES"/>
              </w:rPr>
              <w:t xml:space="preserve"> </w:t>
            </w:r>
            <w:proofErr w:type="spellStart"/>
            <w:r w:rsidRPr="00EE4390">
              <w:rPr>
                <w:i/>
                <w:lang w:val="es-ES" w:eastAsia="en-GB" w:bidi="en-GB"/>
              </w:rPr>
              <w:t>Purchasers</w:t>
            </w:r>
            <w:proofErr w:type="spellEnd"/>
            <w:r w:rsidRPr="00EE4390">
              <w:rPr>
                <w:lang w:val="es-ES"/>
              </w:rPr>
              <w:t>) bajo el Contrato de Compra de Instrumentos de Deuda</w:t>
            </w:r>
            <w:r w:rsidRPr="00EE4390">
              <w:rPr>
                <w:i/>
                <w:lang w:val="es-ES"/>
              </w:rPr>
              <w:t xml:space="preserve"> </w:t>
            </w:r>
            <w:r w:rsidRPr="00EE4390">
              <w:rPr>
                <w:lang w:val="es-ES"/>
              </w:rPr>
              <w:t>PP 2022 (</w:t>
            </w:r>
            <w:r w:rsidR="00131437">
              <w:rPr>
                <w:lang w:val="es-ES"/>
              </w:rPr>
              <w:t xml:space="preserve">2022 </w:t>
            </w:r>
            <w:r w:rsidRPr="00EE4390">
              <w:rPr>
                <w:i/>
                <w:lang w:val="es-ES"/>
              </w:rPr>
              <w:t xml:space="preserve">PP Debt Note </w:t>
            </w:r>
            <w:proofErr w:type="spellStart"/>
            <w:r w:rsidRPr="00EE4390">
              <w:rPr>
                <w:i/>
                <w:lang w:val="es-ES"/>
              </w:rPr>
              <w:t>Purchase</w:t>
            </w:r>
            <w:proofErr w:type="spellEnd"/>
            <w:r w:rsidRPr="00EE4390">
              <w:rPr>
                <w:i/>
                <w:lang w:val="es-ES"/>
              </w:rPr>
              <w:t xml:space="preserve"> </w:t>
            </w:r>
            <w:proofErr w:type="spellStart"/>
            <w:r w:rsidRPr="00EE4390">
              <w:rPr>
                <w:i/>
                <w:lang w:val="es-ES"/>
              </w:rPr>
              <w:t>Agreement</w:t>
            </w:r>
            <w:proofErr w:type="spellEnd"/>
            <w:r w:rsidR="00EB5C89">
              <w:rPr>
                <w:lang w:val="es-ES"/>
              </w:rPr>
              <w:t xml:space="preserve">) </w:t>
            </w:r>
            <w:r w:rsidRPr="00EE4390">
              <w:rPr>
                <w:lang w:val="es-ES"/>
              </w:rPr>
              <w:t xml:space="preserve">(tal y como este término se define a continuación), junto con cualquiera de sus cesionarios o aquellas entidades que en cada momento ostenten tal condición bajo el mismo, serán referidas conjuntamente como las </w:t>
            </w:r>
            <w:r w:rsidRPr="00EE4390">
              <w:rPr>
                <w:b/>
                <w:lang w:val="es-ES"/>
              </w:rPr>
              <w:t>Nuevas</w:t>
            </w:r>
            <w:r w:rsidRPr="00EE4390">
              <w:rPr>
                <w:lang w:val="es-ES"/>
              </w:rPr>
              <w:t xml:space="preserve"> </w:t>
            </w:r>
            <w:r w:rsidRPr="00EE4390">
              <w:rPr>
                <w:b/>
                <w:lang w:val="es-ES"/>
              </w:rPr>
              <w:t>Compradoras de Bonos</w:t>
            </w:r>
            <w:r w:rsidRPr="00EE4390">
              <w:rPr>
                <w:lang w:val="es-ES"/>
              </w:rPr>
              <w:t xml:space="preserve">, y cada una de ellas, una </w:t>
            </w:r>
            <w:r w:rsidR="00EE4390" w:rsidRPr="00EE4390">
              <w:rPr>
                <w:b/>
                <w:lang w:val="es-ES"/>
              </w:rPr>
              <w:t>Nueva</w:t>
            </w:r>
            <w:r w:rsidR="00EE4390" w:rsidRPr="00EE4390">
              <w:rPr>
                <w:lang w:val="es-ES"/>
              </w:rPr>
              <w:t xml:space="preserve"> </w:t>
            </w:r>
            <w:r w:rsidRPr="00EE4390">
              <w:rPr>
                <w:b/>
                <w:lang w:val="es-ES"/>
              </w:rPr>
              <w:t>Compradora de Bonos</w:t>
            </w:r>
            <w:r w:rsidRPr="00EE4390">
              <w:rPr>
                <w:lang w:val="es-ES"/>
              </w:rPr>
              <w:t>.</w:t>
            </w:r>
          </w:p>
        </w:tc>
        <w:tc>
          <w:tcPr>
            <w:tcW w:w="2500" w:type="pct"/>
            <w:shd w:val="clear" w:color="auto" w:fill="auto"/>
          </w:tcPr>
          <w:p w14:paraId="58CBA80B" w14:textId="0F4D509D" w:rsidR="00244FAC" w:rsidRPr="00EE4390" w:rsidRDefault="00244FAC" w:rsidP="00F25678">
            <w:pPr>
              <w:pStyle w:val="AODocTxt"/>
            </w:pPr>
            <w:r w:rsidRPr="00EE4390">
              <w:lastRenderedPageBreak/>
              <w:t xml:space="preserve">The entities listed in sections </w:t>
            </w:r>
            <w:r w:rsidR="00F25678" w:rsidRPr="00F25678">
              <w:t>(57)</w:t>
            </w:r>
            <w:r w:rsidRPr="00EE4390">
              <w:t xml:space="preserve"> to </w:t>
            </w:r>
            <w:r w:rsidR="00F25678" w:rsidRPr="00F25678">
              <w:t>(64)</w:t>
            </w:r>
            <w:r w:rsidRPr="00EE4390">
              <w:t xml:space="preserve"> above (both included) as the notes purchasers under the </w:t>
            </w:r>
            <w:r w:rsidRPr="00EE4390">
              <w:rPr>
                <w:lang w:eastAsia="en-GB" w:bidi="en-GB"/>
              </w:rPr>
              <w:t xml:space="preserve">PP </w:t>
            </w:r>
            <w:r w:rsidRPr="00EE4390">
              <w:rPr>
                <w:lang w:eastAsia="en-GB" w:bidi="en-GB"/>
              </w:rPr>
              <w:lastRenderedPageBreak/>
              <w:t>Debt Note Purchase Agreement 2022</w:t>
            </w:r>
            <w:r w:rsidRPr="00EE4390">
              <w:t xml:space="preserve"> (as this term is defined below), together with any of its assignees and transferees or entities holding such position from time to time thereunder, will be jointly referred to as the </w:t>
            </w:r>
            <w:r w:rsidR="00EE4390" w:rsidRPr="00EE4390">
              <w:rPr>
                <w:b/>
              </w:rPr>
              <w:t>New</w:t>
            </w:r>
            <w:r w:rsidR="00EE4390" w:rsidRPr="00EE4390">
              <w:t xml:space="preserve"> </w:t>
            </w:r>
            <w:r w:rsidRPr="00EE4390">
              <w:rPr>
                <w:b/>
              </w:rPr>
              <w:t>Note Purchasers</w:t>
            </w:r>
            <w:r w:rsidRPr="00EE4390">
              <w:t xml:space="preserve">, and each of them as an </w:t>
            </w:r>
            <w:r w:rsidR="00EE4390" w:rsidRPr="00EE4390">
              <w:rPr>
                <w:b/>
              </w:rPr>
              <w:t xml:space="preserve">New </w:t>
            </w:r>
            <w:r w:rsidRPr="00EE4390">
              <w:rPr>
                <w:b/>
              </w:rPr>
              <w:t>Note</w:t>
            </w:r>
            <w:r w:rsidRPr="00EE4390">
              <w:t xml:space="preserve"> </w:t>
            </w:r>
            <w:r w:rsidRPr="00EE4390">
              <w:rPr>
                <w:b/>
              </w:rPr>
              <w:t>Purchaser</w:t>
            </w:r>
            <w:r w:rsidRPr="00EE4390">
              <w:t>.</w:t>
            </w:r>
          </w:p>
        </w:tc>
      </w:tr>
      <w:tr w:rsidR="00A4422A" w:rsidRPr="00847DF9" w14:paraId="0567DA1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3679554" w14:textId="77777777" w:rsidR="00A4422A" w:rsidRPr="00847DF9" w:rsidRDefault="00A4422A" w:rsidP="00137772">
            <w:pPr>
              <w:pStyle w:val="AODocTxt"/>
              <w:rPr>
                <w:b/>
              </w:rPr>
            </w:pPr>
            <w:r w:rsidRPr="00847DF9">
              <w:rPr>
                <w:b/>
              </w:rPr>
              <w:lastRenderedPageBreak/>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37D870B0" w14:textId="77777777" w:rsidR="00A4422A" w:rsidRPr="00847DF9" w:rsidRDefault="00A4422A" w:rsidP="00B53048">
            <w:pPr>
              <w:pStyle w:val="AODocTxt"/>
              <w:rPr>
                <w:b/>
              </w:rPr>
            </w:pPr>
            <w:r w:rsidRPr="00847DF9">
              <w:rPr>
                <w:b/>
              </w:rPr>
              <w:t>On the other hand,</w:t>
            </w:r>
          </w:p>
        </w:tc>
      </w:tr>
      <w:tr w:rsidR="00A4422A" w:rsidRPr="001277C5" w14:paraId="718FCA1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C2783FE" w14:textId="7BEDB90B" w:rsidR="00A4422A" w:rsidRPr="001277C5" w:rsidRDefault="00A4422A" w:rsidP="00A4422A">
            <w:pPr>
              <w:pStyle w:val="AO1"/>
              <w:rPr>
                <w:b/>
              </w:rPr>
            </w:pPr>
            <w:bookmarkStart w:id="41" w:name="_Ref67050486"/>
            <w:r w:rsidRPr="00453768">
              <w:rPr>
                <w:b/>
              </w:rPr>
              <w:t>BARCLAYS BANK PLC</w:t>
            </w:r>
            <w:bookmarkEnd w:id="41"/>
          </w:p>
        </w:tc>
        <w:tc>
          <w:tcPr>
            <w:tcW w:w="2500" w:type="pct"/>
            <w:shd w:val="clear" w:color="auto" w:fill="auto"/>
          </w:tcPr>
          <w:p w14:paraId="12FF91F9" w14:textId="77777777" w:rsidR="00A4422A" w:rsidRPr="001277C5" w:rsidRDefault="00A4422A" w:rsidP="007E2625">
            <w:pPr>
              <w:pStyle w:val="AODocTxt"/>
              <w:numPr>
                <w:ilvl w:val="0"/>
                <w:numId w:val="33"/>
              </w:numPr>
              <w:ind w:hanging="720"/>
              <w:rPr>
                <w:b/>
              </w:rPr>
            </w:pPr>
            <w:bookmarkStart w:id="42" w:name="_Ref86174583"/>
            <w:r>
              <w:rPr>
                <w:b/>
              </w:rPr>
              <w:t>BARCLAYS BANK PLC</w:t>
            </w:r>
            <w:bookmarkEnd w:id="42"/>
          </w:p>
        </w:tc>
      </w:tr>
      <w:tr w:rsidR="00A4422A" w:rsidRPr="00A4106E" w14:paraId="2D626C2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449670B" w14:textId="77777777" w:rsidR="00A4422A" w:rsidRPr="005B3033" w:rsidRDefault="00A4422A" w:rsidP="00A4422A">
            <w:pPr>
              <w:pStyle w:val="AO1"/>
              <w:rPr>
                <w:b/>
                <w:lang w:val="fr-FR"/>
              </w:rPr>
            </w:pPr>
            <w:r w:rsidRPr="005B3033">
              <w:rPr>
                <w:b/>
                <w:lang w:val="fr-FR"/>
              </w:rPr>
              <w:t>CIBC CAPITAL MARKETS (EUROPE) S.A.</w:t>
            </w:r>
          </w:p>
        </w:tc>
        <w:tc>
          <w:tcPr>
            <w:tcW w:w="2500" w:type="pct"/>
            <w:shd w:val="clear" w:color="auto" w:fill="auto"/>
          </w:tcPr>
          <w:p w14:paraId="7F02E6EF" w14:textId="77777777" w:rsidR="00A4422A" w:rsidRPr="005B3033" w:rsidRDefault="00A4422A" w:rsidP="007E2625">
            <w:pPr>
              <w:pStyle w:val="AODocTxt"/>
              <w:numPr>
                <w:ilvl w:val="0"/>
                <w:numId w:val="33"/>
              </w:numPr>
              <w:ind w:hanging="720"/>
              <w:rPr>
                <w:b/>
                <w:lang w:val="fr-FR"/>
              </w:rPr>
            </w:pPr>
            <w:r w:rsidRPr="005B3033">
              <w:rPr>
                <w:b/>
                <w:lang w:val="fr-FR"/>
              </w:rPr>
              <w:t>CIBC CAPITAL MARKETS (EUROPE) S.A.</w:t>
            </w:r>
          </w:p>
        </w:tc>
      </w:tr>
      <w:tr w:rsidR="00A4422A" w:rsidRPr="001277C5" w14:paraId="57D3360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3DB6ABC" w14:textId="77777777" w:rsidR="00A4422A" w:rsidRPr="001277C5" w:rsidRDefault="00A4422A" w:rsidP="00A4422A">
            <w:pPr>
              <w:pStyle w:val="AO1"/>
              <w:rPr>
                <w:b/>
              </w:rPr>
            </w:pPr>
            <w:r>
              <w:rPr>
                <w:b/>
              </w:rPr>
              <w:t>HAMBURG COMMERCIAL BANK AG</w:t>
            </w:r>
          </w:p>
        </w:tc>
        <w:tc>
          <w:tcPr>
            <w:tcW w:w="2500" w:type="pct"/>
            <w:shd w:val="clear" w:color="auto" w:fill="auto"/>
          </w:tcPr>
          <w:p w14:paraId="039A76FB" w14:textId="77777777" w:rsidR="00A4422A" w:rsidRPr="001277C5" w:rsidRDefault="00A4422A" w:rsidP="007E2625">
            <w:pPr>
              <w:pStyle w:val="AODocTxt"/>
              <w:numPr>
                <w:ilvl w:val="0"/>
                <w:numId w:val="33"/>
              </w:numPr>
              <w:ind w:hanging="720"/>
              <w:rPr>
                <w:b/>
              </w:rPr>
            </w:pPr>
            <w:r>
              <w:rPr>
                <w:b/>
              </w:rPr>
              <w:t>HAMBURG COMMERCIAL BANK AG</w:t>
            </w:r>
          </w:p>
        </w:tc>
      </w:tr>
      <w:tr w:rsidR="00A4422A" w:rsidRPr="001277C5" w14:paraId="2E42E0C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CCB8E64" w14:textId="77777777" w:rsidR="00A4422A" w:rsidRPr="001277C5" w:rsidRDefault="00A4422A" w:rsidP="00A4422A">
            <w:pPr>
              <w:pStyle w:val="AO1"/>
              <w:rPr>
                <w:b/>
              </w:rPr>
            </w:pPr>
            <w:r>
              <w:rPr>
                <w:b/>
              </w:rPr>
              <w:t>ING BANK N.V.</w:t>
            </w:r>
          </w:p>
        </w:tc>
        <w:tc>
          <w:tcPr>
            <w:tcW w:w="2500" w:type="pct"/>
            <w:shd w:val="clear" w:color="auto" w:fill="auto"/>
          </w:tcPr>
          <w:p w14:paraId="08227DDB" w14:textId="77777777" w:rsidR="00A4422A" w:rsidRPr="001277C5" w:rsidRDefault="00A4422A" w:rsidP="007E2625">
            <w:pPr>
              <w:pStyle w:val="AODocTxt"/>
              <w:numPr>
                <w:ilvl w:val="0"/>
                <w:numId w:val="33"/>
              </w:numPr>
              <w:ind w:hanging="720"/>
              <w:rPr>
                <w:b/>
              </w:rPr>
            </w:pPr>
            <w:r>
              <w:rPr>
                <w:b/>
              </w:rPr>
              <w:t>ING BANK N.V.</w:t>
            </w:r>
          </w:p>
        </w:tc>
      </w:tr>
      <w:tr w:rsidR="00A4422A" w:rsidRPr="001277C5" w14:paraId="5D1A75E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6B5D7D5" w14:textId="77777777" w:rsidR="00A4422A" w:rsidRPr="001277C5" w:rsidRDefault="00A4422A" w:rsidP="00A4422A">
            <w:pPr>
              <w:pStyle w:val="AO1"/>
              <w:rPr>
                <w:b/>
              </w:rPr>
            </w:pPr>
            <w:r>
              <w:rPr>
                <w:b/>
              </w:rPr>
              <w:t>MUFG SECURITIES EMEA PLC</w:t>
            </w:r>
          </w:p>
        </w:tc>
        <w:tc>
          <w:tcPr>
            <w:tcW w:w="2500" w:type="pct"/>
            <w:shd w:val="clear" w:color="auto" w:fill="auto"/>
          </w:tcPr>
          <w:p w14:paraId="1925E04C" w14:textId="77777777" w:rsidR="00A4422A" w:rsidRPr="001277C5" w:rsidRDefault="00A4422A" w:rsidP="007E2625">
            <w:pPr>
              <w:pStyle w:val="AODocTxt"/>
              <w:numPr>
                <w:ilvl w:val="0"/>
                <w:numId w:val="33"/>
              </w:numPr>
              <w:ind w:hanging="720"/>
              <w:rPr>
                <w:b/>
              </w:rPr>
            </w:pPr>
            <w:r w:rsidRPr="00453768">
              <w:rPr>
                <w:b/>
              </w:rPr>
              <w:t>MUFG SECUR</w:t>
            </w:r>
            <w:r>
              <w:rPr>
                <w:b/>
              </w:rPr>
              <w:t>ITIES EMEA PLC</w:t>
            </w:r>
          </w:p>
        </w:tc>
      </w:tr>
      <w:tr w:rsidR="00A4422A" w:rsidRPr="001277C5" w14:paraId="4F17BBC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B295ABB" w14:textId="77777777" w:rsidR="00A4422A" w:rsidRPr="001277C5" w:rsidRDefault="00A4422A" w:rsidP="00A4422A">
            <w:pPr>
              <w:pStyle w:val="AO1"/>
              <w:rPr>
                <w:b/>
              </w:rPr>
            </w:pPr>
            <w:r>
              <w:rPr>
                <w:b/>
              </w:rPr>
              <w:t>BANCO SANTANDER, S.A.</w:t>
            </w:r>
          </w:p>
        </w:tc>
        <w:tc>
          <w:tcPr>
            <w:tcW w:w="2500" w:type="pct"/>
            <w:shd w:val="clear" w:color="auto" w:fill="auto"/>
          </w:tcPr>
          <w:p w14:paraId="5C8AACE5" w14:textId="77777777" w:rsidR="00A4422A" w:rsidRPr="001277C5" w:rsidRDefault="00A4422A" w:rsidP="007E2625">
            <w:pPr>
              <w:pStyle w:val="AODocTxt"/>
              <w:numPr>
                <w:ilvl w:val="0"/>
                <w:numId w:val="33"/>
              </w:numPr>
              <w:ind w:hanging="720"/>
              <w:rPr>
                <w:b/>
              </w:rPr>
            </w:pPr>
            <w:r>
              <w:rPr>
                <w:b/>
              </w:rPr>
              <w:t>BANCO SANTANDER, S.A.</w:t>
            </w:r>
          </w:p>
        </w:tc>
      </w:tr>
      <w:tr w:rsidR="00A4422A" w:rsidRPr="00453768" w14:paraId="794C86E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C8BEBC1" w14:textId="4FC16293" w:rsidR="00A4422A" w:rsidRPr="00453768" w:rsidRDefault="00A4422A" w:rsidP="00A4422A">
            <w:pPr>
              <w:pStyle w:val="AO1"/>
              <w:rPr>
                <w:b/>
              </w:rPr>
            </w:pPr>
            <w:bookmarkStart w:id="43" w:name="_Ref67050496"/>
            <w:r w:rsidRPr="00453768">
              <w:rPr>
                <w:b/>
              </w:rPr>
              <w:t>SUMITOMO MITSUI BANKING CORPORATION, BRUSSELS BRANCH</w:t>
            </w:r>
            <w:bookmarkEnd w:id="43"/>
          </w:p>
        </w:tc>
        <w:tc>
          <w:tcPr>
            <w:tcW w:w="2500" w:type="pct"/>
            <w:shd w:val="clear" w:color="auto" w:fill="auto"/>
          </w:tcPr>
          <w:p w14:paraId="7EE02DDE" w14:textId="77777777" w:rsidR="00A4422A" w:rsidRPr="00453768" w:rsidRDefault="00A4422A" w:rsidP="007E2625">
            <w:pPr>
              <w:pStyle w:val="AODocTxt"/>
              <w:numPr>
                <w:ilvl w:val="0"/>
                <w:numId w:val="33"/>
              </w:numPr>
              <w:ind w:hanging="720"/>
              <w:rPr>
                <w:b/>
              </w:rPr>
            </w:pPr>
            <w:bookmarkStart w:id="44" w:name="_Ref86174593"/>
            <w:r w:rsidRPr="00453768">
              <w:rPr>
                <w:b/>
              </w:rPr>
              <w:t>SUMITOMO MITSUI BANKING CORPORATION, BRUSSELS BRANCH</w:t>
            </w:r>
            <w:bookmarkEnd w:id="44"/>
          </w:p>
        </w:tc>
      </w:tr>
      <w:tr w:rsidR="00A4422A" w:rsidRPr="00901F23" w14:paraId="5FBE0C9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7E0ED85" w14:textId="63678D10" w:rsidR="00A4422A" w:rsidRPr="00E53971" w:rsidRDefault="00A4422A" w:rsidP="00F25678">
            <w:pPr>
              <w:pStyle w:val="AODocTxt"/>
              <w:rPr>
                <w:lang w:val="es-ES"/>
              </w:rPr>
            </w:pPr>
            <w:r w:rsidRPr="00E53971">
              <w:rPr>
                <w:lang w:val="es-ES"/>
              </w:rPr>
              <w:t xml:space="preserve">En adelante, </w:t>
            </w:r>
            <w:r>
              <w:rPr>
                <w:lang w:val="es-ES"/>
              </w:rPr>
              <w:t xml:space="preserve">las entidades enumeradas en los apartados </w:t>
            </w:r>
            <w:r w:rsidR="00F25678">
              <w:rPr>
                <w:lang w:val="es-ES"/>
              </w:rPr>
              <w:t>(65)</w:t>
            </w:r>
            <w:r>
              <w:rPr>
                <w:lang w:val="es-ES"/>
              </w:rPr>
              <w:t xml:space="preserve"> a </w:t>
            </w:r>
            <w:r w:rsidR="00F25678">
              <w:rPr>
                <w:lang w:val="es-ES"/>
              </w:rPr>
              <w:t>(71)</w:t>
            </w:r>
            <w:r>
              <w:rPr>
                <w:lang w:val="es-ES"/>
              </w:rPr>
              <w:t xml:space="preserve"> anteriores (ambos inclusive)</w:t>
            </w:r>
            <w:r w:rsidRPr="00E53971">
              <w:rPr>
                <w:lang w:val="es-ES"/>
              </w:rPr>
              <w:t xml:space="preserve"> en su condición de entidades de cobertura (</w:t>
            </w:r>
            <w:proofErr w:type="spellStart"/>
            <w:r w:rsidRPr="00E53971">
              <w:rPr>
                <w:i/>
                <w:lang w:val="es-ES"/>
              </w:rPr>
              <w:t>hedge</w:t>
            </w:r>
            <w:proofErr w:type="spellEnd"/>
            <w:r w:rsidRPr="00E53971">
              <w:rPr>
                <w:i/>
                <w:lang w:val="es-ES"/>
              </w:rPr>
              <w:t xml:space="preserve"> </w:t>
            </w:r>
            <w:proofErr w:type="spellStart"/>
            <w:r w:rsidRPr="00E53971">
              <w:rPr>
                <w:i/>
                <w:lang w:val="es-ES"/>
              </w:rPr>
              <w:t>counterpart</w:t>
            </w:r>
            <w:r>
              <w:rPr>
                <w:i/>
                <w:lang w:val="es-ES"/>
              </w:rPr>
              <w:t>ie</w:t>
            </w:r>
            <w:r w:rsidRPr="00E53971">
              <w:rPr>
                <w:i/>
                <w:lang w:val="es-ES"/>
              </w:rPr>
              <w:t>s</w:t>
            </w:r>
            <w:proofErr w:type="spellEnd"/>
            <w:r w:rsidRPr="00E53971">
              <w:rPr>
                <w:lang w:val="es-ES"/>
              </w:rPr>
              <w:t xml:space="preserve">) bajo los Contratos de Cobertura (tal y como este término se define a continuación), junto con cualquiera de sus cesionarios o aquellas entidades que en cada momento ostenten tal condición bajo los mismos, serán referidas conjuntamente como las </w:t>
            </w:r>
            <w:r w:rsidRPr="00E53971">
              <w:rPr>
                <w:b/>
                <w:lang w:val="es-ES"/>
              </w:rPr>
              <w:t>Entidades de Cobertura</w:t>
            </w:r>
            <w:r>
              <w:rPr>
                <w:b/>
                <w:lang w:val="es-ES"/>
              </w:rPr>
              <w:t xml:space="preserve"> Originales</w:t>
            </w:r>
            <w:r w:rsidRPr="00E53971">
              <w:rPr>
                <w:lang w:val="es-ES"/>
              </w:rPr>
              <w:t xml:space="preserve">, y cada una de ellas, una </w:t>
            </w:r>
            <w:r w:rsidRPr="00E53971">
              <w:rPr>
                <w:b/>
                <w:lang w:val="es-ES"/>
              </w:rPr>
              <w:t>Entidad de Cobertura</w:t>
            </w:r>
            <w:r>
              <w:rPr>
                <w:b/>
                <w:lang w:val="es-ES"/>
              </w:rPr>
              <w:t xml:space="preserve"> Original</w:t>
            </w:r>
            <w:r w:rsidRPr="00E53971">
              <w:rPr>
                <w:lang w:val="es-ES"/>
              </w:rPr>
              <w:t>.</w:t>
            </w:r>
          </w:p>
        </w:tc>
        <w:tc>
          <w:tcPr>
            <w:tcW w:w="2500" w:type="pct"/>
            <w:shd w:val="clear" w:color="auto" w:fill="auto"/>
          </w:tcPr>
          <w:p w14:paraId="5B04BC70" w14:textId="17A38D7F" w:rsidR="00A4422A" w:rsidRPr="00901F23" w:rsidRDefault="00A4422A" w:rsidP="00F25678">
            <w:pPr>
              <w:pStyle w:val="AODocTxt"/>
            </w:pPr>
            <w:r w:rsidRPr="00901F23">
              <w:t xml:space="preserve">Hereinafter, </w:t>
            </w:r>
            <w:r>
              <w:t>t</w:t>
            </w:r>
            <w:r w:rsidR="00C93AA7">
              <w:t>he entities listed in sections</w:t>
            </w:r>
            <w:r w:rsidR="00F25678" w:rsidRPr="00F25678">
              <w:t xml:space="preserve"> (</w:t>
            </w:r>
            <w:r w:rsidR="00F25678">
              <w:t>65)</w:t>
            </w:r>
            <w:r>
              <w:t xml:space="preserve"> to</w:t>
            </w:r>
            <w:r w:rsidRPr="00265457">
              <w:t xml:space="preserve"> </w:t>
            </w:r>
            <w:r w:rsidR="00F25678" w:rsidRPr="00F25678">
              <w:t>(7</w:t>
            </w:r>
            <w:r w:rsidR="00F25678">
              <w:t>1)</w:t>
            </w:r>
            <w:r w:rsidRPr="00265457">
              <w:t xml:space="preserve"> </w:t>
            </w:r>
            <w:r>
              <w:t>above (both included)</w:t>
            </w:r>
            <w:r w:rsidRPr="00901F23">
              <w:t xml:space="preserve"> as hedge counterpart</w:t>
            </w:r>
            <w:r>
              <w:t>ie</w:t>
            </w:r>
            <w:r w:rsidRPr="00901F23">
              <w:t xml:space="preserve">s under the Hedging Agreements (as this term is defined below), together with any of </w:t>
            </w:r>
            <w:r>
              <w:t>their</w:t>
            </w:r>
            <w:r w:rsidRPr="00901F23">
              <w:t xml:space="preserve"> assignees and transferees or entities holding such position from time to time thereunder, will be jointly referred to as the </w:t>
            </w:r>
            <w:r w:rsidRPr="009B6142">
              <w:rPr>
                <w:b/>
              </w:rPr>
              <w:t>Original</w:t>
            </w:r>
            <w:r>
              <w:t xml:space="preserve"> </w:t>
            </w:r>
            <w:r w:rsidRPr="00847DF9">
              <w:rPr>
                <w:b/>
              </w:rPr>
              <w:t>Hedge Counterpart</w:t>
            </w:r>
            <w:r>
              <w:rPr>
                <w:b/>
              </w:rPr>
              <w:t>ie</w:t>
            </w:r>
            <w:r w:rsidRPr="00847DF9">
              <w:rPr>
                <w:b/>
              </w:rPr>
              <w:t>s</w:t>
            </w:r>
            <w:r w:rsidRPr="00901F23">
              <w:t xml:space="preserve">, and each of them </w:t>
            </w:r>
            <w:r>
              <w:t xml:space="preserve">as </w:t>
            </w:r>
            <w:r w:rsidRPr="00901F23">
              <w:t>a</w:t>
            </w:r>
            <w:r>
              <w:t>n</w:t>
            </w:r>
            <w:r w:rsidRPr="00901F23">
              <w:t xml:space="preserve"> </w:t>
            </w:r>
            <w:r w:rsidRPr="009B6142">
              <w:rPr>
                <w:b/>
              </w:rPr>
              <w:t>Original</w:t>
            </w:r>
            <w:r>
              <w:t xml:space="preserve"> </w:t>
            </w:r>
            <w:r w:rsidRPr="00847DF9">
              <w:rPr>
                <w:b/>
              </w:rPr>
              <w:t>Hedge Counterpart</w:t>
            </w:r>
            <w:r>
              <w:rPr>
                <w:b/>
              </w:rPr>
              <w:t>y</w:t>
            </w:r>
            <w:r w:rsidRPr="00901F23">
              <w:t>.</w:t>
            </w:r>
          </w:p>
        </w:tc>
      </w:tr>
      <w:tr w:rsidR="00923FA6" w:rsidRPr="00901F23" w14:paraId="2F0AFD8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8F52EDC" w14:textId="77777777" w:rsidR="00923FA6" w:rsidRPr="00847DF9" w:rsidRDefault="00923FA6" w:rsidP="00923FA6">
            <w:pPr>
              <w:pStyle w:val="AODocTxt"/>
              <w:rPr>
                <w:b/>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11135E07" w14:textId="77777777" w:rsidR="00923FA6" w:rsidRPr="00847DF9" w:rsidRDefault="00923FA6" w:rsidP="00923FA6">
            <w:pPr>
              <w:pStyle w:val="AODocTxt"/>
              <w:rPr>
                <w:b/>
              </w:rPr>
            </w:pPr>
            <w:r w:rsidRPr="00847DF9">
              <w:rPr>
                <w:b/>
              </w:rPr>
              <w:t>On the other hand,</w:t>
            </w:r>
          </w:p>
        </w:tc>
      </w:tr>
      <w:tr w:rsidR="00923FA6" w:rsidRPr="00901F23" w14:paraId="22D1015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3ADB6E1" w14:textId="77777777" w:rsidR="00923FA6" w:rsidRPr="00923FA6" w:rsidRDefault="00923FA6" w:rsidP="00923FA6">
            <w:pPr>
              <w:pStyle w:val="AO1"/>
              <w:rPr>
                <w:b/>
              </w:rPr>
            </w:pPr>
            <w:r w:rsidRPr="00923FA6">
              <w:rPr>
                <w:b/>
                <w:bCs/>
              </w:rPr>
              <w:t>KfW</w:t>
            </w:r>
            <w:r w:rsidRPr="00923FA6">
              <w:rPr>
                <w:b/>
              </w:rPr>
              <w:t xml:space="preserve"> IPEX-Bank GmbH </w:t>
            </w:r>
            <w:r w:rsidRPr="00923FA6">
              <w:t>(</w:t>
            </w:r>
            <w:r w:rsidRPr="00923FA6">
              <w:rPr>
                <w:b/>
              </w:rPr>
              <w:t>KFW</w:t>
            </w:r>
            <w:r w:rsidRPr="00923FA6">
              <w:t>)</w:t>
            </w:r>
            <w:r>
              <w:t>.</w:t>
            </w:r>
          </w:p>
        </w:tc>
        <w:tc>
          <w:tcPr>
            <w:tcW w:w="2500" w:type="pct"/>
            <w:shd w:val="clear" w:color="auto" w:fill="auto"/>
          </w:tcPr>
          <w:p w14:paraId="4A4DB978" w14:textId="77777777" w:rsidR="00923FA6" w:rsidRPr="00901F23" w:rsidRDefault="00923FA6" w:rsidP="007E2625">
            <w:pPr>
              <w:pStyle w:val="AODocTxt"/>
              <w:numPr>
                <w:ilvl w:val="0"/>
                <w:numId w:val="33"/>
              </w:numPr>
              <w:ind w:hanging="720"/>
            </w:pPr>
            <w:r w:rsidRPr="00923FA6">
              <w:rPr>
                <w:b/>
              </w:rPr>
              <w:t xml:space="preserve">KfW IPEX-Bank GmbH </w:t>
            </w:r>
            <w:r w:rsidRPr="00923FA6">
              <w:t>(</w:t>
            </w:r>
            <w:r w:rsidRPr="00923FA6">
              <w:rPr>
                <w:b/>
              </w:rPr>
              <w:t>KFW</w:t>
            </w:r>
            <w:r w:rsidRPr="00923FA6">
              <w:t>)</w:t>
            </w:r>
            <w:r>
              <w:t>.</w:t>
            </w:r>
          </w:p>
        </w:tc>
      </w:tr>
      <w:tr w:rsidR="00923FA6" w:rsidRPr="00923FA6" w14:paraId="12D43F3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72E45A5" w14:textId="4D288DC0" w:rsidR="00923FA6" w:rsidRPr="00BB0700" w:rsidRDefault="00923FA6" w:rsidP="00BB0700">
            <w:pPr>
              <w:pStyle w:val="AO1"/>
              <w:numPr>
                <w:ilvl w:val="0"/>
                <w:numId w:val="0"/>
              </w:numPr>
              <w:rPr>
                <w:b/>
                <w:bCs/>
                <w:lang w:val="es-ES"/>
              </w:rPr>
            </w:pPr>
            <w:r w:rsidRPr="00BB0700">
              <w:rPr>
                <w:bCs/>
                <w:lang w:val="es-ES"/>
              </w:rPr>
              <w:t>KFW</w:t>
            </w:r>
            <w:r w:rsidRPr="00BB0700">
              <w:rPr>
                <w:b/>
                <w:bCs/>
                <w:lang w:val="es-ES"/>
              </w:rPr>
              <w:t xml:space="preserve"> </w:t>
            </w:r>
            <w:r w:rsidRPr="00BB0700">
              <w:rPr>
                <w:lang w:val="es-ES"/>
              </w:rPr>
              <w:t>en su condición de entidad financiadora bajo el Contrato de Contrato de Liquidez 2023 (</w:t>
            </w:r>
            <w:proofErr w:type="spellStart"/>
            <w:r w:rsidRPr="00BB0700">
              <w:rPr>
                <w:i/>
                <w:lang w:val="es-ES" w:eastAsia="en-GB" w:bidi="en-GB"/>
              </w:rPr>
              <w:t>Liquidity</w:t>
            </w:r>
            <w:proofErr w:type="spellEnd"/>
            <w:r w:rsidRPr="00BB0700">
              <w:rPr>
                <w:i/>
                <w:lang w:val="es-ES" w:eastAsia="en-GB" w:bidi="en-GB"/>
              </w:rPr>
              <w:t xml:space="preserve"> </w:t>
            </w:r>
            <w:proofErr w:type="spellStart"/>
            <w:r w:rsidRPr="00BB0700">
              <w:rPr>
                <w:i/>
                <w:lang w:val="es-ES" w:eastAsia="en-GB" w:bidi="en-GB"/>
              </w:rPr>
              <w:t>Facility</w:t>
            </w:r>
            <w:proofErr w:type="spellEnd"/>
            <w:r w:rsidRPr="00BB0700">
              <w:rPr>
                <w:i/>
                <w:lang w:val="es-ES" w:eastAsia="en-GB" w:bidi="en-GB"/>
              </w:rPr>
              <w:t xml:space="preserve"> </w:t>
            </w:r>
            <w:proofErr w:type="spellStart"/>
            <w:r w:rsidRPr="00BB0700">
              <w:rPr>
                <w:i/>
                <w:lang w:val="es-ES" w:eastAsia="en-GB" w:bidi="en-GB"/>
              </w:rPr>
              <w:t>Agreement</w:t>
            </w:r>
            <w:proofErr w:type="spellEnd"/>
            <w:r w:rsidRPr="00BB0700">
              <w:rPr>
                <w:lang w:val="es-ES" w:eastAsia="en-GB" w:bidi="en-GB"/>
              </w:rPr>
              <w:t>)</w:t>
            </w:r>
            <w:r w:rsidRPr="00BB0700">
              <w:rPr>
                <w:lang w:val="es-ES"/>
              </w:rPr>
              <w:t xml:space="preserve"> o cualquier entidad que ostente en cada momento tal condición, será</w:t>
            </w:r>
            <w:r w:rsidR="00BB0700" w:rsidRPr="00BB0700">
              <w:rPr>
                <w:lang w:val="es-ES"/>
              </w:rPr>
              <w:t>n</w:t>
            </w:r>
            <w:r w:rsidRPr="00BB0700">
              <w:rPr>
                <w:lang w:val="es-ES"/>
              </w:rPr>
              <w:t xml:space="preserve"> referida</w:t>
            </w:r>
            <w:r w:rsidR="00BB0700" w:rsidRPr="00BB0700">
              <w:rPr>
                <w:lang w:val="es-ES"/>
              </w:rPr>
              <w:t>s</w:t>
            </w:r>
            <w:r w:rsidRPr="00BB0700">
              <w:rPr>
                <w:lang w:val="es-ES"/>
              </w:rPr>
              <w:t xml:space="preserve"> como</w:t>
            </w:r>
            <w:r w:rsidR="00BB0700" w:rsidRPr="00BB0700">
              <w:rPr>
                <w:lang w:val="es-ES"/>
              </w:rPr>
              <w:t xml:space="preserve"> las </w:t>
            </w:r>
            <w:r w:rsidR="00BB0700">
              <w:rPr>
                <w:b/>
                <w:lang w:val="es-ES"/>
              </w:rPr>
              <w:t xml:space="preserve">Entidades Financiadoras LF  2023 </w:t>
            </w:r>
            <w:r w:rsidR="00BB0700" w:rsidRPr="00BB0700">
              <w:rPr>
                <w:lang w:val="es-ES"/>
              </w:rPr>
              <w:t>y cada una de ellas, de forma individual,</w:t>
            </w:r>
            <w:r w:rsidRPr="00BB0700">
              <w:rPr>
                <w:lang w:val="es-ES"/>
              </w:rPr>
              <w:t xml:space="preserve"> </w:t>
            </w:r>
            <w:r w:rsidR="00BB0700" w:rsidRPr="00BB0700">
              <w:rPr>
                <w:lang w:val="es-ES"/>
              </w:rPr>
              <w:t>un</w:t>
            </w:r>
            <w:r w:rsidRPr="00BB0700">
              <w:rPr>
                <w:lang w:val="es-ES"/>
              </w:rPr>
              <w:t xml:space="preserve">a </w:t>
            </w:r>
            <w:r w:rsidR="00BB0700">
              <w:rPr>
                <w:b/>
                <w:lang w:val="es-ES"/>
              </w:rPr>
              <w:t>Entidad Financiadora LF  2023</w:t>
            </w:r>
            <w:r w:rsidRPr="00BB0700">
              <w:rPr>
                <w:lang w:val="es-ES"/>
              </w:rPr>
              <w:t>.</w:t>
            </w:r>
          </w:p>
        </w:tc>
        <w:tc>
          <w:tcPr>
            <w:tcW w:w="2500" w:type="pct"/>
            <w:shd w:val="clear" w:color="auto" w:fill="auto"/>
          </w:tcPr>
          <w:p w14:paraId="5532A441" w14:textId="77777777" w:rsidR="00923FA6" w:rsidRPr="00BB0700" w:rsidRDefault="00923FA6" w:rsidP="00BB0700">
            <w:pPr>
              <w:pStyle w:val="AODocTxt"/>
              <w:rPr>
                <w:b/>
              </w:rPr>
            </w:pPr>
            <w:r w:rsidRPr="00767522">
              <w:t>KFW,</w:t>
            </w:r>
            <w:r w:rsidRPr="00BB0700">
              <w:rPr>
                <w:b/>
              </w:rPr>
              <w:t xml:space="preserve"> </w:t>
            </w:r>
            <w:r w:rsidRPr="00BB0700">
              <w:t xml:space="preserve">as </w:t>
            </w:r>
            <w:r w:rsidRPr="00BB0700">
              <w:rPr>
                <w:lang w:eastAsia="en-GB" w:bidi="en-GB"/>
              </w:rPr>
              <w:t xml:space="preserve">lender under the </w:t>
            </w:r>
            <w:r w:rsidRPr="00BB0700">
              <w:t>2023 Liquidity Facility Agreement, or any other entity holding such position from time to time</w:t>
            </w:r>
            <w:r w:rsidR="00BB0700">
              <w:t xml:space="preserve">, shall be referred to as </w:t>
            </w:r>
            <w:r w:rsidR="00BB0700" w:rsidRPr="00BB0700">
              <w:t xml:space="preserve">the </w:t>
            </w:r>
            <w:r w:rsidR="00BB0700" w:rsidRPr="00BB0700">
              <w:rPr>
                <w:b/>
              </w:rPr>
              <w:t>LF Lenders 2023</w:t>
            </w:r>
            <w:r w:rsidRPr="00BB0700">
              <w:t xml:space="preserve"> </w:t>
            </w:r>
            <w:r w:rsidR="00BB0700" w:rsidRPr="00BB0700">
              <w:t xml:space="preserve">and each of them individually, a </w:t>
            </w:r>
            <w:r w:rsidR="00BB0700" w:rsidRPr="00BB0700">
              <w:rPr>
                <w:b/>
              </w:rPr>
              <w:t>LF Lender</w:t>
            </w:r>
            <w:r w:rsidR="00BB0700">
              <w:t xml:space="preserve"> </w:t>
            </w:r>
            <w:r w:rsidR="00BB0700" w:rsidRPr="00BB0700">
              <w:rPr>
                <w:b/>
              </w:rPr>
              <w:t>2023</w:t>
            </w:r>
            <w:r w:rsidR="00BB0700">
              <w:t>.</w:t>
            </w:r>
          </w:p>
        </w:tc>
      </w:tr>
      <w:tr w:rsidR="00A30907" w:rsidRPr="00901F23" w14:paraId="112CAC3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89DC9C7" w14:textId="005CCA2E" w:rsidR="00A30907" w:rsidRPr="00847DF9" w:rsidRDefault="00A30907" w:rsidP="002C0952">
            <w:pPr>
              <w:pStyle w:val="AODocTxt"/>
              <w:keepNext/>
              <w:rPr>
                <w:b/>
              </w:rPr>
            </w:pPr>
            <w:r w:rsidRPr="00847DF9">
              <w:rPr>
                <w:b/>
              </w:rPr>
              <w:lastRenderedPageBreak/>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785287B2" w14:textId="02C50282" w:rsidR="00A30907" w:rsidRPr="00847DF9" w:rsidRDefault="00A30907" w:rsidP="002C0952">
            <w:pPr>
              <w:pStyle w:val="AODocTxt"/>
              <w:keepNext/>
              <w:rPr>
                <w:b/>
              </w:rPr>
            </w:pPr>
            <w:r w:rsidRPr="00847DF9">
              <w:rPr>
                <w:b/>
              </w:rPr>
              <w:t>On the other hand,</w:t>
            </w:r>
          </w:p>
        </w:tc>
      </w:tr>
      <w:tr w:rsidR="00D53FEF" w:rsidRPr="00A4106E" w14:paraId="77710ED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D49D933" w14:textId="4B9291CB" w:rsidR="00D53FEF" w:rsidRPr="0008650A" w:rsidRDefault="00195BC9" w:rsidP="002C0952">
            <w:pPr>
              <w:pStyle w:val="AO1"/>
              <w:keepNext/>
              <w:rPr>
                <w:b/>
                <w:bCs/>
                <w:lang w:val="de-DE"/>
              </w:rPr>
            </w:pPr>
            <w:r w:rsidRPr="0008650A">
              <w:rPr>
                <w:b/>
                <w:bCs/>
                <w:lang w:val="de-DE"/>
              </w:rPr>
              <w:t>ABN AMRO BANK N.V</w:t>
            </w:r>
            <w:r w:rsidR="00E97C5A">
              <w:rPr>
                <w:b/>
                <w:bCs/>
                <w:lang w:val="de-DE"/>
              </w:rPr>
              <w:t>.</w:t>
            </w:r>
          </w:p>
        </w:tc>
        <w:tc>
          <w:tcPr>
            <w:tcW w:w="2500" w:type="pct"/>
            <w:shd w:val="clear" w:color="auto" w:fill="auto"/>
          </w:tcPr>
          <w:p w14:paraId="051E535F" w14:textId="53A32316" w:rsidR="00D53FEF" w:rsidRPr="0008650A" w:rsidRDefault="00195BC9" w:rsidP="002C0952">
            <w:pPr>
              <w:pStyle w:val="AODocTxt"/>
              <w:keepNext/>
              <w:numPr>
                <w:ilvl w:val="0"/>
                <w:numId w:val="33"/>
              </w:numPr>
              <w:ind w:hanging="720"/>
              <w:rPr>
                <w:b/>
                <w:lang w:val="de-DE"/>
              </w:rPr>
            </w:pPr>
            <w:r w:rsidRPr="0008650A">
              <w:rPr>
                <w:b/>
                <w:bCs/>
                <w:lang w:val="de-DE"/>
              </w:rPr>
              <w:t>ABN AMRO BANK N.V</w:t>
            </w:r>
            <w:r w:rsidR="00E97C5A">
              <w:rPr>
                <w:b/>
                <w:bCs/>
                <w:lang w:val="de-DE"/>
              </w:rPr>
              <w:t>.</w:t>
            </w:r>
          </w:p>
        </w:tc>
      </w:tr>
      <w:tr w:rsidR="00D53FEF" w:rsidRPr="00901F23" w14:paraId="1596725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5C14E7F" w14:textId="2FB9E942" w:rsidR="00D53FEF" w:rsidRPr="00182BE5" w:rsidRDefault="00195BC9" w:rsidP="00D53FEF">
            <w:pPr>
              <w:pStyle w:val="AO1"/>
              <w:rPr>
                <w:b/>
                <w:bCs/>
              </w:rPr>
            </w:pPr>
            <w:r w:rsidRPr="00195BC9">
              <w:rPr>
                <w:b/>
                <w:bCs/>
              </w:rPr>
              <w:t>COÖPERATIEVE RABOBANK U.A.</w:t>
            </w:r>
          </w:p>
        </w:tc>
        <w:tc>
          <w:tcPr>
            <w:tcW w:w="2500" w:type="pct"/>
            <w:shd w:val="clear" w:color="auto" w:fill="auto"/>
          </w:tcPr>
          <w:p w14:paraId="13ED6709" w14:textId="3D1F4830" w:rsidR="00D53FEF" w:rsidRPr="00182BE5" w:rsidRDefault="00195BC9" w:rsidP="00D53FEF">
            <w:pPr>
              <w:pStyle w:val="AODocTxt"/>
              <w:numPr>
                <w:ilvl w:val="0"/>
                <w:numId w:val="33"/>
              </w:numPr>
              <w:ind w:hanging="720"/>
              <w:rPr>
                <w:b/>
                <w:bCs/>
              </w:rPr>
            </w:pPr>
            <w:r w:rsidRPr="00195BC9">
              <w:rPr>
                <w:b/>
                <w:bCs/>
              </w:rPr>
              <w:t>COÖPERATIEVE RABOBANK U.A.</w:t>
            </w:r>
          </w:p>
        </w:tc>
      </w:tr>
      <w:tr w:rsidR="00A30907" w:rsidRPr="00901F23" w14:paraId="34A74B0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5B03736" w14:textId="147AA73E" w:rsidR="00A30907" w:rsidRPr="00B4039A" w:rsidRDefault="00BC34C0" w:rsidP="00A30907">
            <w:pPr>
              <w:pStyle w:val="AO1"/>
              <w:numPr>
                <w:ilvl w:val="0"/>
                <w:numId w:val="0"/>
              </w:numPr>
              <w:rPr>
                <w:bCs/>
                <w:i/>
                <w:lang w:val="es-ES"/>
              </w:rPr>
            </w:pPr>
            <w:r w:rsidRPr="00B4039A">
              <w:rPr>
                <w:lang w:val="es-ES"/>
              </w:rPr>
              <w:t>En adelante, las entidades enumeradas en los apartados (</w:t>
            </w:r>
            <w:r w:rsidR="00B4039A">
              <w:rPr>
                <w:lang w:val="es-ES"/>
              </w:rPr>
              <w:t>73</w:t>
            </w:r>
            <w:r w:rsidRPr="00B4039A">
              <w:rPr>
                <w:lang w:val="es-ES"/>
              </w:rPr>
              <w:t xml:space="preserve">) </w:t>
            </w:r>
            <w:r w:rsidR="00195BC9">
              <w:rPr>
                <w:lang w:val="es-ES"/>
              </w:rPr>
              <w:t>y</w:t>
            </w:r>
            <w:r w:rsidRPr="00B4039A">
              <w:rPr>
                <w:lang w:val="es-ES"/>
              </w:rPr>
              <w:t xml:space="preserve"> (</w:t>
            </w:r>
            <w:r w:rsidR="00B4039A">
              <w:rPr>
                <w:lang w:val="es-ES"/>
              </w:rPr>
              <w:t>7</w:t>
            </w:r>
            <w:r w:rsidR="00195BC9">
              <w:rPr>
                <w:lang w:val="es-ES"/>
              </w:rPr>
              <w:t>4</w:t>
            </w:r>
            <w:r w:rsidRPr="00B4039A">
              <w:rPr>
                <w:lang w:val="es-ES"/>
              </w:rPr>
              <w:t xml:space="preserve">) anteriores (ambos inclusive) </w:t>
            </w:r>
            <w:r w:rsidR="00182BE5" w:rsidRPr="00B4039A">
              <w:rPr>
                <w:lang w:val="es-ES"/>
              </w:rPr>
              <w:t xml:space="preserve">en </w:t>
            </w:r>
            <w:r w:rsidR="00A30907" w:rsidRPr="00B4039A">
              <w:rPr>
                <w:lang w:val="es-ES"/>
              </w:rPr>
              <w:t>su condición de entidad</w:t>
            </w:r>
            <w:r w:rsidR="00544005" w:rsidRPr="00B4039A">
              <w:rPr>
                <w:lang w:val="es-ES"/>
              </w:rPr>
              <w:t>es</w:t>
            </w:r>
            <w:r w:rsidR="00A30907" w:rsidRPr="00B4039A">
              <w:rPr>
                <w:lang w:val="es-ES"/>
              </w:rPr>
              <w:t xml:space="preserve"> de cobertura (</w:t>
            </w:r>
            <w:proofErr w:type="spellStart"/>
            <w:r w:rsidR="00A30907" w:rsidRPr="00B4039A">
              <w:rPr>
                <w:i/>
                <w:lang w:val="es-ES"/>
              </w:rPr>
              <w:t>hedge</w:t>
            </w:r>
            <w:proofErr w:type="spellEnd"/>
            <w:r w:rsidR="00A30907" w:rsidRPr="00B4039A">
              <w:rPr>
                <w:i/>
                <w:lang w:val="es-ES"/>
              </w:rPr>
              <w:t xml:space="preserve"> </w:t>
            </w:r>
            <w:proofErr w:type="spellStart"/>
            <w:r w:rsidR="00A30907" w:rsidRPr="00B4039A">
              <w:rPr>
                <w:i/>
                <w:lang w:val="es-ES"/>
              </w:rPr>
              <w:t>c</w:t>
            </w:r>
            <w:r w:rsidR="009401C3" w:rsidRPr="00B4039A">
              <w:rPr>
                <w:i/>
                <w:lang w:val="es-ES"/>
              </w:rPr>
              <w:t>o</w:t>
            </w:r>
            <w:r w:rsidR="00A30907" w:rsidRPr="00B4039A">
              <w:rPr>
                <w:i/>
                <w:lang w:val="es-ES"/>
              </w:rPr>
              <w:t>unterpar</w:t>
            </w:r>
            <w:r w:rsidR="00A166CA" w:rsidRPr="00B4039A">
              <w:rPr>
                <w:i/>
                <w:lang w:val="es-ES"/>
              </w:rPr>
              <w:t>t</w:t>
            </w:r>
            <w:r w:rsidR="00A30907" w:rsidRPr="00B4039A">
              <w:rPr>
                <w:i/>
                <w:lang w:val="es-ES"/>
              </w:rPr>
              <w:t>y</w:t>
            </w:r>
            <w:proofErr w:type="spellEnd"/>
            <w:r w:rsidR="00A30907" w:rsidRPr="00B4039A">
              <w:rPr>
                <w:lang w:val="es-ES"/>
              </w:rPr>
              <w:t xml:space="preserve">) bajo </w:t>
            </w:r>
            <w:r w:rsidR="00544005" w:rsidRPr="00B4039A">
              <w:rPr>
                <w:lang w:val="es-ES"/>
              </w:rPr>
              <w:t xml:space="preserve">los </w:t>
            </w:r>
            <w:r w:rsidR="00A30907" w:rsidRPr="00B4039A">
              <w:rPr>
                <w:lang w:val="es-ES"/>
              </w:rPr>
              <w:t>Contrato</w:t>
            </w:r>
            <w:r w:rsidR="00544005" w:rsidRPr="00B4039A">
              <w:rPr>
                <w:lang w:val="es-ES"/>
              </w:rPr>
              <w:t>s</w:t>
            </w:r>
            <w:r w:rsidR="00A30907" w:rsidRPr="00B4039A">
              <w:rPr>
                <w:lang w:val="es-ES"/>
              </w:rPr>
              <w:t xml:space="preserve"> de Cobertura </w:t>
            </w:r>
            <w:r w:rsidR="009E5024">
              <w:rPr>
                <w:lang w:val="es-ES"/>
              </w:rPr>
              <w:t xml:space="preserve">2024 </w:t>
            </w:r>
            <w:r w:rsidR="00A30907" w:rsidRPr="00B4039A">
              <w:rPr>
                <w:lang w:val="es-ES"/>
              </w:rPr>
              <w:t>(tal y como este término se define a continuación), junto con cualquiera de sus cesionarios o aquellas entidades que en cada momento ostenten tal condición bajo los mismos, será</w:t>
            </w:r>
            <w:r w:rsidR="00544005" w:rsidRPr="00B4039A">
              <w:rPr>
                <w:lang w:val="es-ES"/>
              </w:rPr>
              <w:t>n</w:t>
            </w:r>
            <w:r w:rsidR="00A30907" w:rsidRPr="00B4039A">
              <w:rPr>
                <w:lang w:val="es-ES"/>
              </w:rPr>
              <w:t xml:space="preserve"> referida</w:t>
            </w:r>
            <w:r w:rsidR="00544005" w:rsidRPr="00B4039A">
              <w:rPr>
                <w:lang w:val="es-ES"/>
              </w:rPr>
              <w:t>s</w:t>
            </w:r>
            <w:r w:rsidR="00A30907" w:rsidRPr="00B4039A">
              <w:rPr>
                <w:lang w:val="es-ES"/>
              </w:rPr>
              <w:t xml:space="preserve"> como la</w:t>
            </w:r>
            <w:r w:rsidR="00544005" w:rsidRPr="00B4039A">
              <w:rPr>
                <w:lang w:val="es-ES"/>
              </w:rPr>
              <w:t>s</w:t>
            </w:r>
            <w:r w:rsidR="00A30907" w:rsidRPr="00B4039A">
              <w:rPr>
                <w:lang w:val="es-ES"/>
              </w:rPr>
              <w:t xml:space="preserve"> </w:t>
            </w:r>
            <w:r w:rsidR="00A30907" w:rsidRPr="00B4039A">
              <w:rPr>
                <w:b/>
                <w:lang w:val="es-ES"/>
              </w:rPr>
              <w:t>Entidad</w:t>
            </w:r>
            <w:r w:rsidR="00544005" w:rsidRPr="00B4039A">
              <w:rPr>
                <w:b/>
                <w:lang w:val="es-ES"/>
              </w:rPr>
              <w:t>es</w:t>
            </w:r>
            <w:r w:rsidR="00A30907" w:rsidRPr="00B4039A">
              <w:rPr>
                <w:b/>
                <w:lang w:val="es-ES"/>
              </w:rPr>
              <w:t xml:space="preserve"> de Cobertura</w:t>
            </w:r>
            <w:r w:rsidR="00544005" w:rsidRPr="00B4039A">
              <w:rPr>
                <w:b/>
                <w:lang w:val="es-ES"/>
              </w:rPr>
              <w:t xml:space="preserve"> </w:t>
            </w:r>
            <w:r w:rsidR="009E5024">
              <w:rPr>
                <w:b/>
                <w:lang w:val="es-ES"/>
              </w:rPr>
              <w:t xml:space="preserve">2024 </w:t>
            </w:r>
            <w:r w:rsidR="00544005" w:rsidRPr="00B4039A">
              <w:rPr>
                <w:bCs/>
                <w:lang w:val="es-ES"/>
              </w:rPr>
              <w:t xml:space="preserve">y cada una de ellas, de forma individual, una </w:t>
            </w:r>
            <w:r w:rsidR="00544005" w:rsidRPr="00B4039A">
              <w:rPr>
                <w:b/>
                <w:lang w:val="es-ES"/>
              </w:rPr>
              <w:t>Entidad de Cobertura</w:t>
            </w:r>
            <w:r w:rsidR="009E5024">
              <w:rPr>
                <w:b/>
                <w:lang w:val="es-ES"/>
              </w:rPr>
              <w:t xml:space="preserve"> 2024</w:t>
            </w:r>
            <w:r w:rsidR="00A30907" w:rsidRPr="00B4039A">
              <w:rPr>
                <w:bCs/>
                <w:lang w:val="es-ES"/>
              </w:rPr>
              <w:t>.</w:t>
            </w:r>
          </w:p>
        </w:tc>
        <w:tc>
          <w:tcPr>
            <w:tcW w:w="2500" w:type="pct"/>
            <w:shd w:val="clear" w:color="auto" w:fill="auto"/>
          </w:tcPr>
          <w:p w14:paraId="2442E065" w14:textId="5C093F36" w:rsidR="00A30907" w:rsidRPr="00B4039A" w:rsidRDefault="00BC34C0" w:rsidP="00A30907">
            <w:pPr>
              <w:pStyle w:val="AODocTxt"/>
              <w:numPr>
                <w:ilvl w:val="0"/>
                <w:numId w:val="0"/>
              </w:numPr>
              <w:rPr>
                <w:b/>
              </w:rPr>
            </w:pPr>
            <w:r w:rsidRPr="00B4039A">
              <w:t>Hereinafter, the entities listed in sections (</w:t>
            </w:r>
            <w:r w:rsidR="00B4039A">
              <w:t>73</w:t>
            </w:r>
            <w:r w:rsidRPr="00B4039A">
              <w:t xml:space="preserve">) </w:t>
            </w:r>
            <w:r w:rsidR="00195BC9">
              <w:t>and</w:t>
            </w:r>
            <w:r w:rsidRPr="00B4039A">
              <w:t xml:space="preserve"> (</w:t>
            </w:r>
            <w:r w:rsidR="00B4039A">
              <w:t>7</w:t>
            </w:r>
            <w:r w:rsidR="00195BC9">
              <w:t>4</w:t>
            </w:r>
            <w:r w:rsidRPr="00B4039A">
              <w:t>) above (both included)</w:t>
            </w:r>
            <w:r w:rsidR="00D53FEF" w:rsidRPr="00B4039A">
              <w:rPr>
                <w:b/>
                <w:bCs/>
              </w:rPr>
              <w:t xml:space="preserve"> </w:t>
            </w:r>
            <w:r w:rsidR="00A30907" w:rsidRPr="00B4039A">
              <w:t>as hedge counterpart</w:t>
            </w:r>
            <w:r w:rsidR="00544005" w:rsidRPr="00B4039A">
              <w:t>ies</w:t>
            </w:r>
            <w:r w:rsidR="00A30907" w:rsidRPr="00B4039A">
              <w:t xml:space="preserve"> under the </w:t>
            </w:r>
            <w:r w:rsidR="009E5024">
              <w:t xml:space="preserve">2024 </w:t>
            </w:r>
            <w:r w:rsidR="00A30907" w:rsidRPr="00B4039A">
              <w:t>Hedging Agreement</w:t>
            </w:r>
            <w:r w:rsidR="00544005" w:rsidRPr="00B4039A">
              <w:t>s</w:t>
            </w:r>
            <w:r w:rsidR="00A30907" w:rsidRPr="00B4039A">
              <w:t xml:space="preserve"> (as this term is defined below), together with any of their assignees and transferees or entities holding such position from time to time thereunder, will be referred to as the </w:t>
            </w:r>
            <w:r w:rsidR="009E5024">
              <w:rPr>
                <w:b/>
              </w:rPr>
              <w:t>2024</w:t>
            </w:r>
            <w:r w:rsidR="00A30907" w:rsidRPr="00B4039A">
              <w:t xml:space="preserve"> </w:t>
            </w:r>
            <w:r w:rsidR="00A30907" w:rsidRPr="00B4039A">
              <w:rPr>
                <w:b/>
              </w:rPr>
              <w:t>Hedge Counterpart</w:t>
            </w:r>
            <w:r w:rsidR="00544005" w:rsidRPr="00B4039A">
              <w:rPr>
                <w:b/>
              </w:rPr>
              <w:t xml:space="preserve">ies </w:t>
            </w:r>
            <w:r w:rsidR="00544005" w:rsidRPr="00B4039A">
              <w:rPr>
                <w:bCs/>
              </w:rPr>
              <w:t>and each of them individually, a</w:t>
            </w:r>
            <w:r w:rsidR="00544005" w:rsidRPr="00B4039A">
              <w:rPr>
                <w:b/>
              </w:rPr>
              <w:t xml:space="preserve"> </w:t>
            </w:r>
            <w:r w:rsidR="009E5024">
              <w:rPr>
                <w:b/>
              </w:rPr>
              <w:t xml:space="preserve">2024 </w:t>
            </w:r>
            <w:r w:rsidR="00544005" w:rsidRPr="00B4039A">
              <w:rPr>
                <w:b/>
              </w:rPr>
              <w:t>Hedge Counterparty</w:t>
            </w:r>
            <w:r w:rsidR="00A30907" w:rsidRPr="00B4039A">
              <w:t>.</w:t>
            </w:r>
          </w:p>
        </w:tc>
      </w:tr>
      <w:tr w:rsidR="00E81EBD" w:rsidRPr="00901F23" w14:paraId="4D8451E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B1FF0D4" w14:textId="38151B5C" w:rsidR="00E81EBD" w:rsidRPr="00E81EBD" w:rsidRDefault="00E81EBD" w:rsidP="00E81EBD">
            <w:pPr>
              <w:pStyle w:val="AO1"/>
              <w:keepNext/>
              <w:rPr>
                <w:b/>
                <w:bCs/>
                <w:lang w:val="de-DE"/>
              </w:rPr>
            </w:pPr>
            <w:r>
              <w:rPr>
                <w:b/>
                <w:bCs/>
                <w:lang w:val="de-DE"/>
              </w:rPr>
              <w:t>[</w:t>
            </w:r>
            <w:r>
              <w:rPr>
                <w:b/>
                <w:bCs/>
                <w:lang w:val="de-DE"/>
              </w:rPr>
              <w:sym w:font="Wingdings" w:char="F06C"/>
            </w:r>
            <w:r>
              <w:rPr>
                <w:b/>
                <w:bCs/>
                <w:lang w:val="de-DE"/>
              </w:rPr>
              <w:t>]</w:t>
            </w:r>
          </w:p>
        </w:tc>
        <w:tc>
          <w:tcPr>
            <w:tcW w:w="2500" w:type="pct"/>
            <w:shd w:val="clear" w:color="auto" w:fill="auto"/>
          </w:tcPr>
          <w:p w14:paraId="7366E5A1" w14:textId="2B636ABC" w:rsidR="00E81EBD" w:rsidRPr="00E81EBD" w:rsidRDefault="00E81EBD" w:rsidP="00553B6D">
            <w:pPr>
              <w:pStyle w:val="AO1"/>
              <w:keepNext/>
              <w:numPr>
                <w:ilvl w:val="0"/>
                <w:numId w:val="61"/>
              </w:numPr>
              <w:rPr>
                <w:b/>
                <w:bCs/>
                <w:lang w:val="de-DE"/>
              </w:rPr>
            </w:pPr>
            <w:r>
              <w:rPr>
                <w:b/>
                <w:bCs/>
                <w:lang w:val="de-DE"/>
              </w:rPr>
              <w:t>[</w:t>
            </w:r>
            <w:r>
              <w:rPr>
                <w:b/>
                <w:bCs/>
                <w:lang w:val="de-DE"/>
              </w:rPr>
              <w:sym w:font="Wingdings" w:char="F06C"/>
            </w:r>
            <w:r>
              <w:rPr>
                <w:b/>
                <w:bCs/>
                <w:lang w:val="de-DE"/>
              </w:rPr>
              <w:t>]</w:t>
            </w:r>
          </w:p>
        </w:tc>
      </w:tr>
      <w:tr w:rsidR="00E81EBD" w:rsidRPr="00901F23" w14:paraId="40E9E07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84764BB" w14:textId="10396017" w:rsidR="00E81EBD" w:rsidRPr="00E81EBD" w:rsidRDefault="00E81EBD" w:rsidP="00E81EBD">
            <w:pPr>
              <w:pStyle w:val="AO1"/>
              <w:keepNext/>
              <w:rPr>
                <w:b/>
                <w:bCs/>
                <w:lang w:val="de-DE"/>
              </w:rPr>
            </w:pPr>
            <w:r w:rsidRPr="00627EA2">
              <w:rPr>
                <w:b/>
                <w:bCs/>
                <w:lang w:val="de-DE"/>
              </w:rPr>
              <w:t>[</w:t>
            </w:r>
            <w:r w:rsidRPr="00627EA2">
              <w:rPr>
                <w:b/>
                <w:bCs/>
                <w:lang w:val="de-DE"/>
              </w:rPr>
              <w:sym w:font="Wingdings" w:char="F06C"/>
            </w:r>
            <w:r w:rsidRPr="00627EA2">
              <w:rPr>
                <w:b/>
                <w:bCs/>
                <w:lang w:val="de-DE"/>
              </w:rPr>
              <w:t>]</w:t>
            </w:r>
          </w:p>
        </w:tc>
        <w:tc>
          <w:tcPr>
            <w:tcW w:w="2500" w:type="pct"/>
            <w:shd w:val="clear" w:color="auto" w:fill="auto"/>
          </w:tcPr>
          <w:p w14:paraId="15F05B43" w14:textId="0F0A0754" w:rsidR="00E81EBD" w:rsidRPr="00E81EBD" w:rsidRDefault="00E81EBD" w:rsidP="00553B6D">
            <w:pPr>
              <w:pStyle w:val="AO1"/>
              <w:keepNext/>
              <w:numPr>
                <w:ilvl w:val="0"/>
                <w:numId w:val="62"/>
              </w:numPr>
              <w:rPr>
                <w:b/>
                <w:bCs/>
                <w:lang w:val="de-DE"/>
              </w:rPr>
            </w:pPr>
            <w:r w:rsidRPr="00627EA2">
              <w:rPr>
                <w:b/>
                <w:bCs/>
                <w:lang w:val="de-DE"/>
              </w:rPr>
              <w:t>[</w:t>
            </w:r>
            <w:r w:rsidRPr="00627EA2">
              <w:rPr>
                <w:b/>
                <w:bCs/>
                <w:lang w:val="de-DE"/>
              </w:rPr>
              <w:sym w:font="Wingdings" w:char="F06C"/>
            </w:r>
            <w:r w:rsidRPr="00627EA2">
              <w:rPr>
                <w:b/>
                <w:bCs/>
                <w:lang w:val="de-DE"/>
              </w:rPr>
              <w:t>]</w:t>
            </w:r>
          </w:p>
        </w:tc>
      </w:tr>
      <w:tr w:rsidR="00E81EBD" w:rsidRPr="00901F23" w14:paraId="3F1E98C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7545DB6" w14:textId="30113E95" w:rsidR="00E81EBD" w:rsidRPr="00B4039A" w:rsidRDefault="00E81EBD" w:rsidP="00E81EBD">
            <w:pPr>
              <w:pStyle w:val="AO1"/>
              <w:numPr>
                <w:ilvl w:val="0"/>
                <w:numId w:val="0"/>
              </w:numPr>
              <w:rPr>
                <w:lang w:val="es-ES"/>
              </w:rPr>
            </w:pPr>
            <w:r w:rsidRPr="00B4039A">
              <w:rPr>
                <w:lang w:val="es-ES"/>
              </w:rPr>
              <w:t>En adelante, las entidades enumeradas en los apartados (</w:t>
            </w:r>
            <w:r>
              <w:rPr>
                <w:lang w:val="es-ES"/>
              </w:rPr>
              <w:t>75</w:t>
            </w:r>
            <w:r w:rsidRPr="00B4039A">
              <w:rPr>
                <w:lang w:val="es-ES"/>
              </w:rPr>
              <w:t xml:space="preserve">) </w:t>
            </w:r>
            <w:r>
              <w:rPr>
                <w:lang w:val="es-ES"/>
              </w:rPr>
              <w:t>y</w:t>
            </w:r>
            <w:r w:rsidRPr="00B4039A">
              <w:rPr>
                <w:lang w:val="es-ES"/>
              </w:rPr>
              <w:t xml:space="preserve"> (</w:t>
            </w:r>
            <w:r>
              <w:rPr>
                <w:lang w:val="es-ES"/>
              </w:rPr>
              <w:t>76</w:t>
            </w:r>
            <w:r w:rsidRPr="00B4039A">
              <w:rPr>
                <w:lang w:val="es-ES"/>
              </w:rPr>
              <w:t>) anteriores (ambos inclusive) en su condición de entidades de cobertura (</w:t>
            </w:r>
            <w:proofErr w:type="spellStart"/>
            <w:r w:rsidRPr="00B4039A">
              <w:rPr>
                <w:i/>
                <w:lang w:val="es-ES"/>
              </w:rPr>
              <w:t>hedge</w:t>
            </w:r>
            <w:proofErr w:type="spellEnd"/>
            <w:r w:rsidRPr="00B4039A">
              <w:rPr>
                <w:i/>
                <w:lang w:val="es-ES"/>
              </w:rPr>
              <w:t xml:space="preserve"> </w:t>
            </w:r>
            <w:proofErr w:type="spellStart"/>
            <w:r w:rsidRPr="00B4039A">
              <w:rPr>
                <w:i/>
                <w:lang w:val="es-ES"/>
              </w:rPr>
              <w:t>counterparty</w:t>
            </w:r>
            <w:proofErr w:type="spellEnd"/>
            <w:r w:rsidRPr="00B4039A">
              <w:rPr>
                <w:lang w:val="es-ES"/>
              </w:rPr>
              <w:t xml:space="preserve">) bajo los </w:t>
            </w:r>
            <w:r>
              <w:rPr>
                <w:lang w:val="es-ES"/>
              </w:rPr>
              <w:t xml:space="preserve">Nuevos </w:t>
            </w:r>
            <w:r w:rsidRPr="00B4039A">
              <w:rPr>
                <w:lang w:val="es-ES"/>
              </w:rPr>
              <w:t xml:space="preserve">Contratos de Cobertura (tal y como este término se define a continuación), junto con cualquiera de sus cesionarios o aquellas entidades que en cada momento ostenten tal condición bajo los mismos, serán referidas como las </w:t>
            </w:r>
            <w:r w:rsidRPr="00E81EBD">
              <w:rPr>
                <w:b/>
                <w:bCs/>
                <w:lang w:val="es-ES"/>
              </w:rPr>
              <w:t>Nuevas</w:t>
            </w:r>
            <w:r>
              <w:rPr>
                <w:lang w:val="es-ES"/>
              </w:rPr>
              <w:t xml:space="preserve"> </w:t>
            </w:r>
            <w:r w:rsidRPr="00B4039A">
              <w:rPr>
                <w:b/>
                <w:lang w:val="es-ES"/>
              </w:rPr>
              <w:t xml:space="preserve">Entidades de Cobertura </w:t>
            </w:r>
            <w:r w:rsidRPr="00B4039A">
              <w:rPr>
                <w:bCs/>
                <w:lang w:val="es-ES"/>
              </w:rPr>
              <w:t xml:space="preserve">y cada una de ellas, de forma individual, una </w:t>
            </w:r>
            <w:r w:rsidRPr="00E81EBD">
              <w:rPr>
                <w:b/>
                <w:lang w:val="es-ES"/>
              </w:rPr>
              <w:t>Nueva</w:t>
            </w:r>
            <w:r>
              <w:rPr>
                <w:bCs/>
                <w:lang w:val="es-ES"/>
              </w:rPr>
              <w:t xml:space="preserve"> </w:t>
            </w:r>
            <w:r w:rsidRPr="00B4039A">
              <w:rPr>
                <w:b/>
                <w:lang w:val="es-ES"/>
              </w:rPr>
              <w:t>Entidad de Cobertura</w:t>
            </w:r>
            <w:r w:rsidRPr="00B4039A">
              <w:rPr>
                <w:bCs/>
                <w:lang w:val="es-ES"/>
              </w:rPr>
              <w:t>.</w:t>
            </w:r>
          </w:p>
        </w:tc>
        <w:tc>
          <w:tcPr>
            <w:tcW w:w="2500" w:type="pct"/>
            <w:shd w:val="clear" w:color="auto" w:fill="auto"/>
          </w:tcPr>
          <w:p w14:paraId="2A9C0954" w14:textId="4F69CB0B" w:rsidR="00E81EBD" w:rsidRPr="00B4039A" w:rsidRDefault="00E81EBD" w:rsidP="00E81EBD">
            <w:pPr>
              <w:pStyle w:val="AODocTxt"/>
              <w:numPr>
                <w:ilvl w:val="0"/>
                <w:numId w:val="0"/>
              </w:numPr>
            </w:pPr>
            <w:r w:rsidRPr="00B4039A">
              <w:t>Hereinafter, the entities listed in sections (</w:t>
            </w:r>
            <w:r>
              <w:t>75</w:t>
            </w:r>
            <w:r w:rsidRPr="00B4039A">
              <w:t xml:space="preserve">) </w:t>
            </w:r>
            <w:r>
              <w:t>and</w:t>
            </w:r>
            <w:r w:rsidRPr="00B4039A">
              <w:t xml:space="preserve"> (</w:t>
            </w:r>
            <w:r>
              <w:t>76</w:t>
            </w:r>
            <w:r w:rsidRPr="00B4039A">
              <w:t>) above (both included)</w:t>
            </w:r>
            <w:r w:rsidRPr="00B4039A">
              <w:rPr>
                <w:b/>
                <w:bCs/>
              </w:rPr>
              <w:t xml:space="preserve"> </w:t>
            </w:r>
            <w:r w:rsidRPr="00B4039A">
              <w:t xml:space="preserve">as hedge counterparties under the </w:t>
            </w:r>
            <w:r>
              <w:t xml:space="preserve">New </w:t>
            </w:r>
            <w:r w:rsidRPr="00B4039A">
              <w:t xml:space="preserve">Hedging Agreements (as this term is defined below), together with any of their assignees and transferees or entities holding such position from time to time thereunder, will be referred to as the </w:t>
            </w:r>
            <w:r>
              <w:rPr>
                <w:b/>
              </w:rPr>
              <w:t>New</w:t>
            </w:r>
            <w:r w:rsidRPr="00B4039A">
              <w:t xml:space="preserve"> </w:t>
            </w:r>
            <w:r w:rsidRPr="00B4039A">
              <w:rPr>
                <w:b/>
              </w:rPr>
              <w:t xml:space="preserve">Hedge Counterparties </w:t>
            </w:r>
            <w:r w:rsidRPr="00B4039A">
              <w:rPr>
                <w:bCs/>
              </w:rPr>
              <w:t>and each of them individually, a</w:t>
            </w:r>
            <w:r w:rsidRPr="00B4039A">
              <w:rPr>
                <w:b/>
              </w:rPr>
              <w:t xml:space="preserve"> </w:t>
            </w:r>
            <w:r>
              <w:rPr>
                <w:b/>
              </w:rPr>
              <w:t xml:space="preserve">New </w:t>
            </w:r>
            <w:r w:rsidRPr="00B4039A">
              <w:rPr>
                <w:b/>
              </w:rPr>
              <w:t>Hedge Counterparty</w:t>
            </w:r>
            <w:r w:rsidRPr="00B4039A">
              <w:t>.</w:t>
            </w:r>
          </w:p>
        </w:tc>
      </w:tr>
      <w:bookmarkEnd w:id="9"/>
      <w:tr w:rsidR="00FC0066" w:rsidRPr="00901F23" w14:paraId="1D936A7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38AB0AB" w14:textId="77777777" w:rsidR="00FC0066" w:rsidRPr="00B4039A" w:rsidRDefault="00FC0066" w:rsidP="00FC0066">
            <w:pPr>
              <w:pStyle w:val="AODocTxt"/>
              <w:rPr>
                <w:b/>
              </w:rPr>
            </w:pPr>
            <w:r w:rsidRPr="00B4039A">
              <w:rPr>
                <w:b/>
              </w:rPr>
              <w:t xml:space="preserve">De </w:t>
            </w:r>
            <w:proofErr w:type="spellStart"/>
            <w:r w:rsidRPr="00B4039A">
              <w:rPr>
                <w:b/>
              </w:rPr>
              <w:t>otra</w:t>
            </w:r>
            <w:proofErr w:type="spellEnd"/>
            <w:r w:rsidRPr="00B4039A">
              <w:rPr>
                <w:b/>
              </w:rPr>
              <w:t xml:space="preserve"> </w:t>
            </w:r>
            <w:proofErr w:type="spellStart"/>
            <w:r w:rsidRPr="00B4039A">
              <w:rPr>
                <w:b/>
              </w:rPr>
              <w:t>parte</w:t>
            </w:r>
            <w:proofErr w:type="spellEnd"/>
            <w:r w:rsidRPr="00B4039A">
              <w:rPr>
                <w:b/>
              </w:rPr>
              <w:t>,</w:t>
            </w:r>
          </w:p>
        </w:tc>
        <w:tc>
          <w:tcPr>
            <w:tcW w:w="2500" w:type="pct"/>
            <w:shd w:val="clear" w:color="auto" w:fill="auto"/>
          </w:tcPr>
          <w:p w14:paraId="2AA88217" w14:textId="77777777" w:rsidR="00FC0066" w:rsidRPr="00B4039A" w:rsidRDefault="00FC0066" w:rsidP="00FC0066">
            <w:pPr>
              <w:pStyle w:val="AODocTxt"/>
              <w:rPr>
                <w:b/>
              </w:rPr>
            </w:pPr>
            <w:r w:rsidRPr="00B4039A">
              <w:rPr>
                <w:b/>
              </w:rPr>
              <w:t>On the other hand,</w:t>
            </w:r>
          </w:p>
        </w:tc>
      </w:tr>
      <w:tr w:rsidR="00474F22" w:rsidRPr="00A4106E" w14:paraId="24B0072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3BEF050" w14:textId="040E5323" w:rsidR="00474F22" w:rsidRPr="0008650A" w:rsidRDefault="00474F22" w:rsidP="00474F22">
            <w:pPr>
              <w:pStyle w:val="AO1"/>
              <w:rPr>
                <w:b/>
                <w:bCs/>
                <w:lang w:val="de-DE"/>
              </w:rPr>
            </w:pPr>
            <w:r w:rsidRPr="0008650A">
              <w:rPr>
                <w:b/>
                <w:bCs/>
                <w:lang w:val="de-DE"/>
              </w:rPr>
              <w:t>ABN AMRO BANK N.V.</w:t>
            </w:r>
          </w:p>
        </w:tc>
        <w:tc>
          <w:tcPr>
            <w:tcW w:w="2500" w:type="pct"/>
            <w:shd w:val="clear" w:color="auto" w:fill="auto"/>
          </w:tcPr>
          <w:p w14:paraId="1F15DC45" w14:textId="478A3B50" w:rsidR="00474F22" w:rsidRPr="00E81EBD" w:rsidRDefault="00474F22" w:rsidP="00553B6D">
            <w:pPr>
              <w:pStyle w:val="AO10"/>
              <w:numPr>
                <w:ilvl w:val="0"/>
                <w:numId w:val="63"/>
              </w:numPr>
              <w:ind w:left="310" w:hanging="283"/>
              <w:rPr>
                <w:bCs/>
                <w:lang w:val="de-DE"/>
              </w:rPr>
            </w:pPr>
            <w:r w:rsidRPr="00E81EBD">
              <w:rPr>
                <w:bCs/>
                <w:lang w:val="de-DE"/>
              </w:rPr>
              <w:t>ABN AMRO BANK N.V.</w:t>
            </w:r>
          </w:p>
        </w:tc>
      </w:tr>
      <w:tr w:rsidR="00474F22" w:rsidRPr="00901F23" w14:paraId="47216EF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37ECB70" w14:textId="60BD2457" w:rsidR="00474F22" w:rsidRPr="00B4039A" w:rsidRDefault="00474F22" w:rsidP="00474F22">
            <w:pPr>
              <w:pStyle w:val="AO1"/>
              <w:rPr>
                <w:b/>
                <w:bCs/>
              </w:rPr>
            </w:pPr>
            <w:r w:rsidRPr="00B4039A">
              <w:rPr>
                <w:b/>
                <w:bCs/>
              </w:rPr>
              <w:t>CAIXABANK, S.A. UK BRANCH</w:t>
            </w:r>
          </w:p>
        </w:tc>
        <w:tc>
          <w:tcPr>
            <w:tcW w:w="2500" w:type="pct"/>
            <w:shd w:val="clear" w:color="auto" w:fill="auto"/>
          </w:tcPr>
          <w:p w14:paraId="524F4BF2" w14:textId="3FE4FB3B" w:rsidR="00474F22" w:rsidRPr="00316E16" w:rsidRDefault="00474F22" w:rsidP="00316E16">
            <w:pPr>
              <w:pStyle w:val="AODocTxt"/>
              <w:numPr>
                <w:ilvl w:val="0"/>
                <w:numId w:val="33"/>
              </w:numPr>
              <w:ind w:hanging="720"/>
              <w:rPr>
                <w:b/>
                <w:bCs/>
              </w:rPr>
            </w:pPr>
            <w:r w:rsidRPr="00316E16">
              <w:rPr>
                <w:b/>
                <w:bCs/>
              </w:rPr>
              <w:t>CAIXABANK, S.A. UK BRANCH</w:t>
            </w:r>
          </w:p>
        </w:tc>
      </w:tr>
      <w:tr w:rsidR="00474F22" w:rsidRPr="00901F23" w14:paraId="15D1864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6B23182" w14:textId="4E86EB96" w:rsidR="00474F22" w:rsidRPr="00B4039A" w:rsidRDefault="00474F22" w:rsidP="00FA66CE">
            <w:pPr>
              <w:pStyle w:val="AO1"/>
              <w:numPr>
                <w:ilvl w:val="0"/>
                <w:numId w:val="59"/>
              </w:numPr>
              <w:rPr>
                <w:b/>
                <w:bCs/>
              </w:rPr>
            </w:pPr>
            <w:r w:rsidRPr="00B4039A">
              <w:rPr>
                <w:b/>
                <w:bCs/>
              </w:rPr>
              <w:t>COÖPERATIEVE RABOBANK U.A.</w:t>
            </w:r>
          </w:p>
        </w:tc>
        <w:tc>
          <w:tcPr>
            <w:tcW w:w="2500" w:type="pct"/>
            <w:shd w:val="clear" w:color="auto" w:fill="auto"/>
          </w:tcPr>
          <w:p w14:paraId="2D223ED7" w14:textId="2908BB93" w:rsidR="00474F22" w:rsidRPr="00195BC9" w:rsidRDefault="00474F22" w:rsidP="00316E16">
            <w:pPr>
              <w:pStyle w:val="AODocTxt"/>
              <w:numPr>
                <w:ilvl w:val="0"/>
                <w:numId w:val="33"/>
              </w:numPr>
              <w:ind w:hanging="720"/>
              <w:rPr>
                <w:b/>
                <w:bCs/>
              </w:rPr>
            </w:pPr>
            <w:r w:rsidRPr="00195BC9">
              <w:rPr>
                <w:b/>
                <w:bCs/>
              </w:rPr>
              <w:t>COÖPERATIEVE RABOBANK U.A.</w:t>
            </w:r>
          </w:p>
        </w:tc>
      </w:tr>
      <w:tr w:rsidR="00474F22" w:rsidRPr="00901F23" w14:paraId="0C16537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2188F1C" w14:textId="4437822C" w:rsidR="00474F22" w:rsidRPr="00B4039A" w:rsidRDefault="00474F22" w:rsidP="00474F22">
            <w:pPr>
              <w:pStyle w:val="AO1"/>
              <w:rPr>
                <w:b/>
                <w:bCs/>
              </w:rPr>
            </w:pPr>
            <w:r w:rsidRPr="00B4039A">
              <w:rPr>
                <w:b/>
                <w:bCs/>
              </w:rPr>
              <w:t>CR</w:t>
            </w:r>
            <w:r w:rsidR="00E97C5A">
              <w:rPr>
                <w:b/>
                <w:bCs/>
              </w:rPr>
              <w:t>É</w:t>
            </w:r>
            <w:r w:rsidRPr="00B4039A">
              <w:rPr>
                <w:b/>
                <w:bCs/>
              </w:rPr>
              <w:t>DIT AGRICOLE CORPORATE AND INVESTMENT BANK</w:t>
            </w:r>
          </w:p>
        </w:tc>
        <w:tc>
          <w:tcPr>
            <w:tcW w:w="2500" w:type="pct"/>
            <w:shd w:val="clear" w:color="auto" w:fill="auto"/>
          </w:tcPr>
          <w:p w14:paraId="2336E5B0" w14:textId="2089A0D0" w:rsidR="00474F22" w:rsidRPr="00195BC9" w:rsidRDefault="00474F22" w:rsidP="00316E16">
            <w:pPr>
              <w:pStyle w:val="AODocTxt"/>
              <w:numPr>
                <w:ilvl w:val="0"/>
                <w:numId w:val="33"/>
              </w:numPr>
              <w:ind w:hanging="720"/>
              <w:rPr>
                <w:b/>
                <w:bCs/>
              </w:rPr>
            </w:pPr>
            <w:r w:rsidRPr="00195BC9">
              <w:rPr>
                <w:b/>
                <w:bCs/>
              </w:rPr>
              <w:t>CR</w:t>
            </w:r>
            <w:r w:rsidR="00E97C5A" w:rsidRPr="00E97C5A">
              <w:rPr>
                <w:b/>
                <w:bCs/>
              </w:rPr>
              <w:t>É</w:t>
            </w:r>
            <w:r w:rsidRPr="00195BC9">
              <w:rPr>
                <w:b/>
                <w:bCs/>
              </w:rPr>
              <w:t>DIT AGRICOLE CORPORATE AND INVESTMENT BANK</w:t>
            </w:r>
          </w:p>
        </w:tc>
      </w:tr>
      <w:tr w:rsidR="00474F22" w:rsidRPr="00901F23" w14:paraId="67DB306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2C84626" w14:textId="254C9A91" w:rsidR="00474F22" w:rsidRPr="00B4039A" w:rsidRDefault="00474F22" w:rsidP="00474F22">
            <w:pPr>
              <w:pStyle w:val="AO1"/>
              <w:rPr>
                <w:b/>
                <w:bCs/>
              </w:rPr>
            </w:pPr>
            <w:r w:rsidRPr="00B4039A">
              <w:rPr>
                <w:b/>
                <w:bCs/>
              </w:rPr>
              <w:t>DEVELOPMENT BANK OF JAPAN INC.</w:t>
            </w:r>
          </w:p>
        </w:tc>
        <w:tc>
          <w:tcPr>
            <w:tcW w:w="2500" w:type="pct"/>
            <w:shd w:val="clear" w:color="auto" w:fill="auto"/>
          </w:tcPr>
          <w:p w14:paraId="08380317" w14:textId="06D274B0" w:rsidR="00474F22" w:rsidRPr="00195BC9" w:rsidRDefault="00474F22" w:rsidP="00316E16">
            <w:pPr>
              <w:pStyle w:val="AODocTxt"/>
              <w:numPr>
                <w:ilvl w:val="0"/>
                <w:numId w:val="33"/>
              </w:numPr>
              <w:ind w:hanging="720"/>
              <w:rPr>
                <w:b/>
                <w:bCs/>
              </w:rPr>
            </w:pPr>
            <w:r w:rsidRPr="00195BC9">
              <w:rPr>
                <w:b/>
                <w:bCs/>
              </w:rPr>
              <w:t>DEVELOPMENT BANK OF JAPAN INC.</w:t>
            </w:r>
          </w:p>
        </w:tc>
      </w:tr>
      <w:tr w:rsidR="00474F22" w:rsidRPr="00901F23" w14:paraId="210ED21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EDC5E84" w14:textId="5AEB1956" w:rsidR="00474F22" w:rsidRPr="00B4039A" w:rsidRDefault="00474F22" w:rsidP="00474F22">
            <w:pPr>
              <w:pStyle w:val="AO1"/>
              <w:rPr>
                <w:b/>
                <w:bCs/>
              </w:rPr>
            </w:pPr>
            <w:r w:rsidRPr="00B4039A">
              <w:rPr>
                <w:b/>
                <w:bCs/>
              </w:rPr>
              <w:t>ING BANK</w:t>
            </w:r>
            <w:r w:rsidR="00E97C5A">
              <w:rPr>
                <w:b/>
                <w:bCs/>
              </w:rPr>
              <w:t>, A BRANCH OF ING</w:t>
            </w:r>
            <w:r w:rsidR="00DB70C8">
              <w:rPr>
                <w:b/>
                <w:bCs/>
              </w:rPr>
              <w:t>-</w:t>
            </w:r>
            <w:r w:rsidR="00E97C5A">
              <w:rPr>
                <w:b/>
                <w:bCs/>
              </w:rPr>
              <w:t>DIBA AG</w:t>
            </w:r>
          </w:p>
        </w:tc>
        <w:tc>
          <w:tcPr>
            <w:tcW w:w="2500" w:type="pct"/>
            <w:shd w:val="clear" w:color="auto" w:fill="auto"/>
          </w:tcPr>
          <w:p w14:paraId="4722E743" w14:textId="0837E6EA" w:rsidR="00474F22" w:rsidRPr="00195BC9" w:rsidRDefault="00474F22" w:rsidP="00316E16">
            <w:pPr>
              <w:pStyle w:val="AODocTxt"/>
              <w:numPr>
                <w:ilvl w:val="0"/>
                <w:numId w:val="33"/>
              </w:numPr>
              <w:ind w:hanging="720"/>
              <w:rPr>
                <w:b/>
                <w:bCs/>
              </w:rPr>
            </w:pPr>
            <w:r w:rsidRPr="00195BC9">
              <w:rPr>
                <w:b/>
                <w:bCs/>
              </w:rPr>
              <w:t>ING BANK</w:t>
            </w:r>
            <w:r w:rsidR="00E97C5A">
              <w:rPr>
                <w:b/>
                <w:bCs/>
              </w:rPr>
              <w:t>, A BRANCH OF ING</w:t>
            </w:r>
            <w:r w:rsidR="00DB70C8">
              <w:rPr>
                <w:b/>
                <w:bCs/>
              </w:rPr>
              <w:t>-</w:t>
            </w:r>
            <w:r w:rsidR="00E97C5A">
              <w:rPr>
                <w:b/>
                <w:bCs/>
              </w:rPr>
              <w:t>DIBA AG</w:t>
            </w:r>
          </w:p>
        </w:tc>
      </w:tr>
      <w:tr w:rsidR="00474F22" w:rsidRPr="006B2A14" w14:paraId="456B7E1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27C17E0" w14:textId="6F3A6BEB" w:rsidR="00474F22" w:rsidRPr="0008650A" w:rsidRDefault="00474F22" w:rsidP="00474F22">
            <w:pPr>
              <w:pStyle w:val="AO1"/>
              <w:rPr>
                <w:b/>
                <w:bCs/>
                <w:lang w:val="it-IT"/>
              </w:rPr>
            </w:pPr>
            <w:r w:rsidRPr="0008650A">
              <w:rPr>
                <w:b/>
                <w:bCs/>
                <w:lang w:val="it-IT"/>
              </w:rPr>
              <w:t>INTESA SANPAOLO BANK IRELAND PLC</w:t>
            </w:r>
          </w:p>
        </w:tc>
        <w:tc>
          <w:tcPr>
            <w:tcW w:w="2500" w:type="pct"/>
            <w:shd w:val="clear" w:color="auto" w:fill="auto"/>
          </w:tcPr>
          <w:p w14:paraId="5DACB368" w14:textId="2F4B02A5" w:rsidR="00474F22" w:rsidRPr="00316E16" w:rsidRDefault="00474F22" w:rsidP="00316E16">
            <w:pPr>
              <w:pStyle w:val="AODocTxt"/>
              <w:numPr>
                <w:ilvl w:val="0"/>
                <w:numId w:val="33"/>
              </w:numPr>
              <w:ind w:hanging="720"/>
              <w:rPr>
                <w:b/>
                <w:bCs/>
              </w:rPr>
            </w:pPr>
            <w:r w:rsidRPr="00316E16">
              <w:rPr>
                <w:b/>
                <w:bCs/>
              </w:rPr>
              <w:t>INTESA SANPAOLO BANK IRELAND PLC</w:t>
            </w:r>
          </w:p>
        </w:tc>
      </w:tr>
      <w:tr w:rsidR="00474F22" w:rsidRPr="00901F23" w14:paraId="28CF18F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7D1F680" w14:textId="6BB1398C" w:rsidR="00474F22" w:rsidRPr="00B4039A" w:rsidRDefault="00474F22" w:rsidP="00474F22">
            <w:pPr>
              <w:pStyle w:val="AO1"/>
              <w:rPr>
                <w:b/>
                <w:bCs/>
              </w:rPr>
            </w:pPr>
            <w:r w:rsidRPr="00B4039A">
              <w:rPr>
                <w:b/>
                <w:bCs/>
              </w:rPr>
              <w:lastRenderedPageBreak/>
              <w:t>SGBTCI</w:t>
            </w:r>
          </w:p>
        </w:tc>
        <w:tc>
          <w:tcPr>
            <w:tcW w:w="2500" w:type="pct"/>
            <w:shd w:val="clear" w:color="auto" w:fill="auto"/>
          </w:tcPr>
          <w:p w14:paraId="5CEA6FC7" w14:textId="08F9A640" w:rsidR="00474F22" w:rsidRPr="00195BC9" w:rsidRDefault="00474F22" w:rsidP="00316E16">
            <w:pPr>
              <w:pStyle w:val="AODocTxt"/>
              <w:numPr>
                <w:ilvl w:val="0"/>
                <w:numId w:val="33"/>
              </w:numPr>
              <w:ind w:hanging="720"/>
              <w:rPr>
                <w:b/>
                <w:bCs/>
              </w:rPr>
            </w:pPr>
            <w:r w:rsidRPr="00195BC9">
              <w:rPr>
                <w:b/>
                <w:bCs/>
              </w:rPr>
              <w:t>SGBTCI</w:t>
            </w:r>
          </w:p>
        </w:tc>
      </w:tr>
      <w:tr w:rsidR="00474F22" w:rsidRPr="00901F23" w14:paraId="7731F04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D5AA7EF" w14:textId="5E7E2EFA" w:rsidR="00474F22" w:rsidRPr="00B4039A" w:rsidRDefault="00474F22" w:rsidP="00474F22">
            <w:pPr>
              <w:pStyle w:val="AO1"/>
              <w:rPr>
                <w:b/>
                <w:bCs/>
              </w:rPr>
            </w:pPr>
            <w:r w:rsidRPr="00B4039A">
              <w:rPr>
                <w:b/>
                <w:bCs/>
              </w:rPr>
              <w:t>SGBT ASSET BASED FUNDING S.A</w:t>
            </w:r>
            <w:r w:rsidR="003E7643">
              <w:rPr>
                <w:b/>
                <w:bCs/>
              </w:rPr>
              <w:t>.</w:t>
            </w:r>
          </w:p>
        </w:tc>
        <w:tc>
          <w:tcPr>
            <w:tcW w:w="2500" w:type="pct"/>
            <w:shd w:val="clear" w:color="auto" w:fill="auto"/>
          </w:tcPr>
          <w:p w14:paraId="29E9536B" w14:textId="25C8B958" w:rsidR="00474F22" w:rsidRPr="00195BC9" w:rsidRDefault="00474F22" w:rsidP="00316E16">
            <w:pPr>
              <w:pStyle w:val="AODocTxt"/>
              <w:numPr>
                <w:ilvl w:val="0"/>
                <w:numId w:val="33"/>
              </w:numPr>
              <w:ind w:hanging="720"/>
              <w:rPr>
                <w:b/>
                <w:bCs/>
              </w:rPr>
            </w:pPr>
            <w:r w:rsidRPr="00195BC9">
              <w:rPr>
                <w:b/>
                <w:bCs/>
              </w:rPr>
              <w:t>SGBT ASSET BASED FUNDING S.A</w:t>
            </w:r>
            <w:r w:rsidR="003E7643">
              <w:rPr>
                <w:b/>
                <w:bCs/>
              </w:rPr>
              <w:t>.</w:t>
            </w:r>
          </w:p>
        </w:tc>
      </w:tr>
      <w:tr w:rsidR="00474F22" w:rsidRPr="00901F23" w14:paraId="6CB4474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1DCE8A1" w14:textId="16FF43AE" w:rsidR="00474F22" w:rsidRPr="00B4039A" w:rsidRDefault="00474F22" w:rsidP="00474F22">
            <w:pPr>
              <w:pStyle w:val="AO1"/>
              <w:rPr>
                <w:b/>
                <w:bCs/>
              </w:rPr>
            </w:pPr>
            <w:r w:rsidRPr="00B4039A">
              <w:rPr>
                <w:b/>
                <w:bCs/>
              </w:rPr>
              <w:t>SIEMENS BANK GMBH</w:t>
            </w:r>
          </w:p>
        </w:tc>
        <w:tc>
          <w:tcPr>
            <w:tcW w:w="2500" w:type="pct"/>
            <w:shd w:val="clear" w:color="auto" w:fill="auto"/>
          </w:tcPr>
          <w:p w14:paraId="22D551EA" w14:textId="59D42122" w:rsidR="00474F22" w:rsidRPr="00195BC9" w:rsidRDefault="00474F22" w:rsidP="00316E16">
            <w:pPr>
              <w:pStyle w:val="AODocTxt"/>
              <w:numPr>
                <w:ilvl w:val="0"/>
                <w:numId w:val="33"/>
              </w:numPr>
              <w:ind w:hanging="720"/>
              <w:rPr>
                <w:b/>
                <w:bCs/>
              </w:rPr>
            </w:pPr>
            <w:r w:rsidRPr="00195BC9">
              <w:rPr>
                <w:b/>
                <w:bCs/>
              </w:rPr>
              <w:t>SIEMENS BANK GMBH</w:t>
            </w:r>
          </w:p>
        </w:tc>
      </w:tr>
      <w:tr w:rsidR="00210A06" w:rsidRPr="00901F23" w14:paraId="34FC32E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BC32D8F" w14:textId="1C331F59" w:rsidR="00210A06" w:rsidRPr="00B4039A" w:rsidRDefault="003B71D6" w:rsidP="00210A06">
            <w:pPr>
              <w:pStyle w:val="AO1"/>
              <w:numPr>
                <w:ilvl w:val="0"/>
                <w:numId w:val="0"/>
              </w:numPr>
              <w:rPr>
                <w:bCs/>
                <w:lang w:val="es-ES"/>
              </w:rPr>
            </w:pPr>
            <w:r w:rsidRPr="00B4039A">
              <w:rPr>
                <w:lang w:val="es-ES"/>
              </w:rPr>
              <w:t xml:space="preserve">En adelante, las entidades enumeradas en los apartados </w:t>
            </w:r>
            <w:r w:rsidR="009B6334" w:rsidRPr="00B4039A">
              <w:rPr>
                <w:lang w:val="es-ES"/>
              </w:rPr>
              <w:t>(</w:t>
            </w:r>
            <w:r w:rsidR="00E81EBD">
              <w:rPr>
                <w:lang w:val="es-ES"/>
              </w:rPr>
              <w:t>77</w:t>
            </w:r>
            <w:r w:rsidR="009B6334" w:rsidRPr="00B4039A">
              <w:rPr>
                <w:lang w:val="es-ES"/>
              </w:rPr>
              <w:t>)</w:t>
            </w:r>
            <w:r w:rsidRPr="00B4039A">
              <w:rPr>
                <w:lang w:val="es-ES"/>
              </w:rPr>
              <w:t xml:space="preserve"> a (</w:t>
            </w:r>
            <w:r w:rsidR="00F22537">
              <w:rPr>
                <w:lang w:val="es-ES"/>
              </w:rPr>
              <w:t>8</w:t>
            </w:r>
            <w:r w:rsidR="00E81EBD">
              <w:rPr>
                <w:lang w:val="es-ES"/>
              </w:rPr>
              <w:t>6</w:t>
            </w:r>
            <w:r w:rsidR="00F22537">
              <w:rPr>
                <w:lang w:val="es-ES"/>
              </w:rPr>
              <w:t>)</w:t>
            </w:r>
            <w:r w:rsidRPr="00B4039A">
              <w:rPr>
                <w:lang w:val="es-ES"/>
              </w:rPr>
              <w:t xml:space="preserve"> anteriores (ambos inclusive), </w:t>
            </w:r>
            <w:r w:rsidR="00210A06" w:rsidRPr="00B4039A">
              <w:rPr>
                <w:lang w:val="es-ES"/>
              </w:rPr>
              <w:t>en su condición de entidad</w:t>
            </w:r>
            <w:r w:rsidR="001E798B" w:rsidRPr="00B4039A">
              <w:rPr>
                <w:lang w:val="es-ES"/>
              </w:rPr>
              <w:t>es</w:t>
            </w:r>
            <w:r w:rsidR="00210A06" w:rsidRPr="00B4039A">
              <w:rPr>
                <w:lang w:val="es-ES"/>
              </w:rPr>
              <w:t xml:space="preserve"> financiadora</w:t>
            </w:r>
            <w:r w:rsidR="001E798B" w:rsidRPr="00B4039A">
              <w:rPr>
                <w:lang w:val="es-ES"/>
              </w:rPr>
              <w:t>s</w:t>
            </w:r>
            <w:r w:rsidR="00210A06" w:rsidRPr="00B4039A">
              <w:rPr>
                <w:lang w:val="es-ES"/>
              </w:rPr>
              <w:t xml:space="preserve"> bajo el </w:t>
            </w:r>
            <w:r w:rsidR="001E798B" w:rsidRPr="00B4039A">
              <w:rPr>
                <w:lang w:val="es-ES"/>
              </w:rPr>
              <w:t xml:space="preserve">Contrato de </w:t>
            </w:r>
            <w:r w:rsidR="00BD1587" w:rsidRPr="00B4039A">
              <w:rPr>
                <w:lang w:val="es-ES"/>
              </w:rPr>
              <w:t xml:space="preserve">Crédito Autorizado </w:t>
            </w:r>
            <w:r w:rsidR="001E798B" w:rsidRPr="00B4039A">
              <w:rPr>
                <w:lang w:val="es-ES"/>
              </w:rPr>
              <w:t>2024</w:t>
            </w:r>
            <w:r w:rsidR="00210A06" w:rsidRPr="00B4039A">
              <w:rPr>
                <w:lang w:val="es-ES"/>
              </w:rPr>
              <w:t xml:space="preserve"> </w:t>
            </w:r>
            <w:r w:rsidR="001E798B" w:rsidRPr="00B4039A">
              <w:rPr>
                <w:lang w:val="es-ES"/>
              </w:rPr>
              <w:t>(</w:t>
            </w:r>
            <w:r w:rsidR="00AB6262" w:rsidRPr="00B4039A">
              <w:rPr>
                <w:i/>
                <w:iCs/>
                <w:lang w:val="es-ES"/>
              </w:rPr>
              <w:t xml:space="preserve">2024 </w:t>
            </w:r>
            <w:proofErr w:type="spellStart"/>
            <w:r w:rsidR="001E798B" w:rsidRPr="00B4039A">
              <w:rPr>
                <w:i/>
                <w:iCs/>
                <w:lang w:val="es-ES"/>
              </w:rPr>
              <w:t>Authorised</w:t>
            </w:r>
            <w:proofErr w:type="spellEnd"/>
            <w:r w:rsidR="001E798B" w:rsidRPr="00B4039A">
              <w:rPr>
                <w:i/>
                <w:iCs/>
                <w:lang w:val="es-ES"/>
              </w:rPr>
              <w:t xml:space="preserve"> </w:t>
            </w:r>
            <w:proofErr w:type="spellStart"/>
            <w:r w:rsidR="001E798B" w:rsidRPr="00B4039A">
              <w:rPr>
                <w:i/>
                <w:iCs/>
                <w:lang w:val="es-ES"/>
              </w:rPr>
              <w:t>Credit</w:t>
            </w:r>
            <w:proofErr w:type="spellEnd"/>
            <w:r w:rsidR="001E798B" w:rsidRPr="00B4039A">
              <w:rPr>
                <w:i/>
                <w:iCs/>
                <w:lang w:val="es-ES"/>
              </w:rPr>
              <w:t xml:space="preserve"> Facilities</w:t>
            </w:r>
            <w:r w:rsidR="00210A06" w:rsidRPr="00B4039A">
              <w:rPr>
                <w:i/>
                <w:lang w:val="es-ES" w:eastAsia="en-GB" w:bidi="en-GB"/>
              </w:rPr>
              <w:t xml:space="preserve"> </w:t>
            </w:r>
            <w:proofErr w:type="spellStart"/>
            <w:r w:rsidR="00210A06" w:rsidRPr="00B4039A">
              <w:rPr>
                <w:i/>
                <w:lang w:val="es-ES" w:eastAsia="en-GB" w:bidi="en-GB"/>
              </w:rPr>
              <w:t>Agreement</w:t>
            </w:r>
            <w:proofErr w:type="spellEnd"/>
            <w:r w:rsidR="00210A06" w:rsidRPr="00B4039A">
              <w:rPr>
                <w:lang w:val="es-ES" w:eastAsia="en-GB" w:bidi="en-GB"/>
              </w:rPr>
              <w:t>)</w:t>
            </w:r>
            <w:r w:rsidR="00210A06" w:rsidRPr="00B4039A">
              <w:rPr>
                <w:lang w:val="es-ES"/>
              </w:rPr>
              <w:t xml:space="preserve"> o cualquier entidad que ostente en cada momento tal condición, serán referidas como las</w:t>
            </w:r>
            <w:r w:rsidR="00210A06" w:rsidRPr="00B4039A">
              <w:rPr>
                <w:b/>
                <w:lang w:val="es-ES"/>
              </w:rPr>
              <w:t xml:space="preserve"> Entidades Financiadoras </w:t>
            </w:r>
            <w:r w:rsidR="00AB6262" w:rsidRPr="00B4039A">
              <w:rPr>
                <w:b/>
                <w:lang w:val="es-ES"/>
              </w:rPr>
              <w:t>ACF 2024</w:t>
            </w:r>
            <w:r w:rsidR="00210A06" w:rsidRPr="00B4039A">
              <w:rPr>
                <w:b/>
                <w:lang w:val="es-ES"/>
              </w:rPr>
              <w:t xml:space="preserve"> </w:t>
            </w:r>
            <w:r w:rsidR="00210A06" w:rsidRPr="00B4039A">
              <w:rPr>
                <w:lang w:val="es-ES"/>
              </w:rPr>
              <w:t xml:space="preserve">y cada una de ellas, de forma individual, una </w:t>
            </w:r>
            <w:r w:rsidR="00210A06" w:rsidRPr="00B4039A">
              <w:rPr>
                <w:b/>
                <w:lang w:val="es-ES"/>
              </w:rPr>
              <w:t xml:space="preserve">Entidad Financiadora </w:t>
            </w:r>
            <w:r w:rsidR="00AB6262" w:rsidRPr="00B4039A">
              <w:rPr>
                <w:b/>
                <w:lang w:val="es-ES"/>
              </w:rPr>
              <w:t>ACF</w:t>
            </w:r>
            <w:r w:rsidR="00210A06" w:rsidRPr="00B4039A">
              <w:rPr>
                <w:b/>
                <w:lang w:val="es-ES"/>
              </w:rPr>
              <w:t xml:space="preserve">  202</w:t>
            </w:r>
            <w:r w:rsidR="00AB6262" w:rsidRPr="00B4039A">
              <w:rPr>
                <w:b/>
                <w:lang w:val="es-ES"/>
              </w:rPr>
              <w:t>4</w:t>
            </w:r>
            <w:r w:rsidR="00210A06" w:rsidRPr="00B4039A">
              <w:rPr>
                <w:lang w:val="es-ES"/>
              </w:rPr>
              <w:t>.</w:t>
            </w:r>
          </w:p>
        </w:tc>
        <w:tc>
          <w:tcPr>
            <w:tcW w:w="2500" w:type="pct"/>
            <w:shd w:val="clear" w:color="auto" w:fill="auto"/>
          </w:tcPr>
          <w:p w14:paraId="19B7A330" w14:textId="259DA531" w:rsidR="00210A06" w:rsidRPr="00B4039A" w:rsidRDefault="003B71D6" w:rsidP="00210A06">
            <w:pPr>
              <w:pStyle w:val="AO1"/>
              <w:numPr>
                <w:ilvl w:val="0"/>
                <w:numId w:val="0"/>
              </w:numPr>
              <w:rPr>
                <w:bCs/>
              </w:rPr>
            </w:pPr>
            <w:r w:rsidRPr="00B4039A">
              <w:t xml:space="preserve">Hereinafter, the entities listed in sections </w:t>
            </w:r>
            <w:r w:rsidR="009B6334" w:rsidRPr="00B4039A">
              <w:t>(</w:t>
            </w:r>
            <w:r w:rsidR="00E81EBD">
              <w:t>77</w:t>
            </w:r>
            <w:r w:rsidR="009B6334" w:rsidRPr="00B4039A">
              <w:t>) to (</w:t>
            </w:r>
            <w:r w:rsidR="00F22537">
              <w:t>8</w:t>
            </w:r>
            <w:r w:rsidR="00E81EBD">
              <w:t>6</w:t>
            </w:r>
            <w:r w:rsidR="009B6334" w:rsidRPr="00B4039A">
              <w:t xml:space="preserve">) </w:t>
            </w:r>
            <w:r w:rsidRPr="00B4039A">
              <w:t xml:space="preserve">above (both included), </w:t>
            </w:r>
            <w:r w:rsidR="00210A06" w:rsidRPr="00B4039A">
              <w:t xml:space="preserve">as </w:t>
            </w:r>
            <w:r w:rsidR="00210A06" w:rsidRPr="00B4039A">
              <w:rPr>
                <w:lang w:eastAsia="en-GB" w:bidi="en-GB"/>
              </w:rPr>
              <w:t>lender</w:t>
            </w:r>
            <w:r w:rsidR="00AB6262" w:rsidRPr="00B4039A">
              <w:rPr>
                <w:lang w:eastAsia="en-GB" w:bidi="en-GB"/>
              </w:rPr>
              <w:t>s</w:t>
            </w:r>
            <w:r w:rsidR="00210A06" w:rsidRPr="00B4039A">
              <w:rPr>
                <w:lang w:eastAsia="en-GB" w:bidi="en-GB"/>
              </w:rPr>
              <w:t xml:space="preserve"> under the </w:t>
            </w:r>
            <w:r w:rsidR="00AB6262" w:rsidRPr="00B4039A">
              <w:t>2024</w:t>
            </w:r>
            <w:r w:rsidR="00210A06" w:rsidRPr="00B4039A">
              <w:t xml:space="preserve"> </w:t>
            </w:r>
            <w:r w:rsidR="00AB6262" w:rsidRPr="00B4039A">
              <w:t>Authorised Credit Facilities</w:t>
            </w:r>
            <w:r w:rsidR="00AB6262" w:rsidRPr="00B4039A">
              <w:rPr>
                <w:lang w:eastAsia="en-GB" w:bidi="en-GB"/>
              </w:rPr>
              <w:t xml:space="preserve"> Agreement</w:t>
            </w:r>
            <w:r w:rsidR="00AB6262" w:rsidRPr="00B4039A">
              <w:t>,</w:t>
            </w:r>
            <w:r w:rsidR="00210A06" w:rsidRPr="00B4039A">
              <w:t xml:space="preserve"> or any other entity holding such position from time to time, shall be referred to as the </w:t>
            </w:r>
            <w:r w:rsidR="00AB6262" w:rsidRPr="00B4039A">
              <w:rPr>
                <w:b/>
              </w:rPr>
              <w:t>ACF</w:t>
            </w:r>
            <w:r w:rsidR="00210A06" w:rsidRPr="00B4039A">
              <w:rPr>
                <w:b/>
              </w:rPr>
              <w:t xml:space="preserve"> Lenders 202</w:t>
            </w:r>
            <w:r w:rsidR="00AB6262" w:rsidRPr="00B4039A">
              <w:rPr>
                <w:b/>
              </w:rPr>
              <w:t>4</w:t>
            </w:r>
            <w:r w:rsidR="00210A06" w:rsidRPr="00B4039A">
              <w:t xml:space="preserve"> and each of them individually, a </w:t>
            </w:r>
            <w:r w:rsidR="00AB6262" w:rsidRPr="00B4039A">
              <w:rPr>
                <w:b/>
              </w:rPr>
              <w:t>ACF</w:t>
            </w:r>
            <w:r w:rsidR="00210A06" w:rsidRPr="00B4039A">
              <w:rPr>
                <w:b/>
              </w:rPr>
              <w:t xml:space="preserve"> Lender</w:t>
            </w:r>
            <w:r w:rsidR="00210A06" w:rsidRPr="00B4039A">
              <w:t xml:space="preserve"> </w:t>
            </w:r>
            <w:r w:rsidR="00210A06" w:rsidRPr="00B4039A">
              <w:rPr>
                <w:b/>
              </w:rPr>
              <w:t>202</w:t>
            </w:r>
            <w:r w:rsidR="00AB6262" w:rsidRPr="00B4039A">
              <w:rPr>
                <w:b/>
              </w:rPr>
              <w:t>4</w:t>
            </w:r>
            <w:r w:rsidR="00210A06" w:rsidRPr="00B4039A">
              <w:t>.</w:t>
            </w:r>
          </w:p>
        </w:tc>
      </w:tr>
      <w:tr w:rsidR="00AB6262" w:rsidRPr="00901F23" w14:paraId="532D231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2079456" w14:textId="3BFF2594" w:rsidR="00AB6262" w:rsidRDefault="00AB6262" w:rsidP="00AB6262">
            <w:pPr>
              <w:pStyle w:val="AO1"/>
              <w:numPr>
                <w:ilvl w:val="0"/>
                <w:numId w:val="0"/>
              </w:numPr>
              <w:rPr>
                <w:bCs/>
                <w:lang w:val="es-ES"/>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27D28B0C" w14:textId="4651699E" w:rsidR="00AB6262" w:rsidRPr="00210A06" w:rsidRDefault="00AB6262" w:rsidP="00AB6262">
            <w:pPr>
              <w:pStyle w:val="AO1"/>
              <w:numPr>
                <w:ilvl w:val="0"/>
                <w:numId w:val="0"/>
              </w:numPr>
              <w:rPr>
                <w:bCs/>
              </w:rPr>
            </w:pPr>
            <w:r w:rsidRPr="00847DF9">
              <w:rPr>
                <w:b/>
              </w:rPr>
              <w:t>On the other hand,</w:t>
            </w:r>
          </w:p>
        </w:tc>
      </w:tr>
      <w:tr w:rsidR="00AB6262" w:rsidRPr="00A4106E" w14:paraId="6BCF07E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5A86AD3" w14:textId="1C0AEC23" w:rsidR="00AB6262" w:rsidRPr="0008650A" w:rsidRDefault="00474F22" w:rsidP="007E2625">
            <w:pPr>
              <w:pStyle w:val="AO1"/>
              <w:numPr>
                <w:ilvl w:val="0"/>
                <w:numId w:val="40"/>
              </w:numPr>
              <w:rPr>
                <w:bCs/>
                <w:lang w:val="de-DE"/>
              </w:rPr>
            </w:pPr>
            <w:r w:rsidRPr="0008650A">
              <w:rPr>
                <w:b/>
                <w:bCs/>
                <w:lang w:val="de-DE"/>
              </w:rPr>
              <w:t>ABN AMRO BANK N.V.</w:t>
            </w:r>
          </w:p>
        </w:tc>
        <w:tc>
          <w:tcPr>
            <w:tcW w:w="2500" w:type="pct"/>
            <w:shd w:val="clear" w:color="auto" w:fill="auto"/>
          </w:tcPr>
          <w:p w14:paraId="2916D3FB" w14:textId="47BB2CC7" w:rsidR="00AB6262" w:rsidRPr="00F7673E" w:rsidRDefault="00474F22" w:rsidP="00316E16">
            <w:pPr>
              <w:pStyle w:val="AODocTxt"/>
              <w:numPr>
                <w:ilvl w:val="0"/>
                <w:numId w:val="33"/>
              </w:numPr>
              <w:ind w:hanging="720"/>
              <w:rPr>
                <w:b/>
                <w:bCs/>
                <w:lang w:val="de-DE"/>
              </w:rPr>
            </w:pPr>
            <w:r w:rsidRPr="00F7673E">
              <w:rPr>
                <w:b/>
                <w:bCs/>
                <w:lang w:val="de-DE"/>
              </w:rPr>
              <w:t>ABN AMRO BANK N.V.</w:t>
            </w:r>
          </w:p>
        </w:tc>
      </w:tr>
      <w:tr w:rsidR="00AB6262" w:rsidRPr="00901F23" w14:paraId="6C371F0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75EF96D" w14:textId="2281187C" w:rsidR="00AB6262" w:rsidRDefault="00474F22" w:rsidP="007E2625">
            <w:pPr>
              <w:pStyle w:val="AO1"/>
              <w:numPr>
                <w:ilvl w:val="0"/>
                <w:numId w:val="40"/>
              </w:numPr>
              <w:rPr>
                <w:b/>
                <w:bCs/>
              </w:rPr>
            </w:pPr>
            <w:r w:rsidRPr="00474F22">
              <w:rPr>
                <w:b/>
                <w:bCs/>
              </w:rPr>
              <w:t>CAIXABANK, S.A. UK BRANCH</w:t>
            </w:r>
          </w:p>
        </w:tc>
        <w:tc>
          <w:tcPr>
            <w:tcW w:w="2500" w:type="pct"/>
            <w:shd w:val="clear" w:color="auto" w:fill="auto"/>
          </w:tcPr>
          <w:p w14:paraId="1193BFF0" w14:textId="51A0A058" w:rsidR="00AB6262" w:rsidRPr="00195BC9" w:rsidRDefault="00474F22" w:rsidP="00316E16">
            <w:pPr>
              <w:pStyle w:val="AODocTxt"/>
              <w:numPr>
                <w:ilvl w:val="0"/>
                <w:numId w:val="33"/>
              </w:numPr>
              <w:ind w:hanging="720"/>
              <w:rPr>
                <w:b/>
                <w:bCs/>
              </w:rPr>
            </w:pPr>
            <w:r w:rsidRPr="00195BC9">
              <w:rPr>
                <w:b/>
                <w:bCs/>
              </w:rPr>
              <w:t>CAIXABANK, S.A. UK BRANCH</w:t>
            </w:r>
          </w:p>
        </w:tc>
      </w:tr>
      <w:tr w:rsidR="00474F22" w:rsidRPr="00901F23" w14:paraId="29E28BE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7B29CCF" w14:textId="5E93979A" w:rsidR="00474F22" w:rsidRPr="00474F22" w:rsidRDefault="00474F22" w:rsidP="007E2625">
            <w:pPr>
              <w:pStyle w:val="AO1"/>
              <w:numPr>
                <w:ilvl w:val="0"/>
                <w:numId w:val="40"/>
              </w:numPr>
              <w:rPr>
                <w:b/>
                <w:bCs/>
              </w:rPr>
            </w:pPr>
            <w:r w:rsidRPr="00474F22">
              <w:rPr>
                <w:b/>
                <w:bCs/>
              </w:rPr>
              <w:t>COÖPERATIEVE RABOBANK U.A.</w:t>
            </w:r>
          </w:p>
        </w:tc>
        <w:tc>
          <w:tcPr>
            <w:tcW w:w="2500" w:type="pct"/>
            <w:shd w:val="clear" w:color="auto" w:fill="auto"/>
          </w:tcPr>
          <w:p w14:paraId="4A368D96" w14:textId="304F1B56" w:rsidR="00474F22" w:rsidRPr="00195BC9" w:rsidRDefault="00474F22" w:rsidP="00316E16">
            <w:pPr>
              <w:pStyle w:val="AODocTxt"/>
              <w:numPr>
                <w:ilvl w:val="0"/>
                <w:numId w:val="33"/>
              </w:numPr>
              <w:ind w:hanging="720"/>
              <w:rPr>
                <w:b/>
                <w:bCs/>
              </w:rPr>
            </w:pPr>
            <w:r w:rsidRPr="00195BC9">
              <w:rPr>
                <w:b/>
                <w:bCs/>
              </w:rPr>
              <w:t>COÖPERATIEVE RABOBANK U.A.</w:t>
            </w:r>
          </w:p>
        </w:tc>
      </w:tr>
      <w:tr w:rsidR="00474F22" w:rsidRPr="00901F23" w14:paraId="6069728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31E2A01" w14:textId="63A25D59" w:rsidR="00474F22" w:rsidRPr="00474F22" w:rsidRDefault="00474F22" w:rsidP="007E2625">
            <w:pPr>
              <w:pStyle w:val="AO1"/>
              <w:numPr>
                <w:ilvl w:val="0"/>
                <w:numId w:val="40"/>
              </w:numPr>
              <w:rPr>
                <w:b/>
                <w:bCs/>
              </w:rPr>
            </w:pPr>
            <w:r w:rsidRPr="00474F22">
              <w:rPr>
                <w:b/>
                <w:bCs/>
              </w:rPr>
              <w:t>CR</w:t>
            </w:r>
            <w:r w:rsidR="00E97C5A">
              <w:rPr>
                <w:b/>
                <w:bCs/>
              </w:rPr>
              <w:t>É</w:t>
            </w:r>
            <w:r w:rsidRPr="00474F22">
              <w:rPr>
                <w:b/>
                <w:bCs/>
              </w:rPr>
              <w:t>DIT AGRICOLE CORPORATE AND INVESTMENT BANK</w:t>
            </w:r>
          </w:p>
        </w:tc>
        <w:tc>
          <w:tcPr>
            <w:tcW w:w="2500" w:type="pct"/>
            <w:shd w:val="clear" w:color="auto" w:fill="auto"/>
          </w:tcPr>
          <w:p w14:paraId="673E69B0" w14:textId="66E3FDF7" w:rsidR="00474F22" w:rsidRPr="00195BC9" w:rsidRDefault="00474F22" w:rsidP="00316E16">
            <w:pPr>
              <w:pStyle w:val="AODocTxt"/>
              <w:numPr>
                <w:ilvl w:val="0"/>
                <w:numId w:val="33"/>
              </w:numPr>
              <w:ind w:hanging="720"/>
              <w:rPr>
                <w:b/>
                <w:bCs/>
              </w:rPr>
            </w:pPr>
            <w:r w:rsidRPr="00195BC9">
              <w:rPr>
                <w:b/>
                <w:bCs/>
              </w:rPr>
              <w:t>CR</w:t>
            </w:r>
            <w:r w:rsidR="00E97C5A">
              <w:rPr>
                <w:b/>
                <w:bCs/>
              </w:rPr>
              <w:t>É</w:t>
            </w:r>
            <w:r w:rsidRPr="00195BC9">
              <w:rPr>
                <w:b/>
                <w:bCs/>
              </w:rPr>
              <w:t>DIT AGRICOLE CORPORATE AND INVESTMENT BANK</w:t>
            </w:r>
          </w:p>
        </w:tc>
      </w:tr>
      <w:tr w:rsidR="00474F22" w:rsidRPr="00901F23" w14:paraId="00D0162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1E8229A" w14:textId="5392D661" w:rsidR="00474F22" w:rsidRPr="00474F22" w:rsidRDefault="00474F22" w:rsidP="007E2625">
            <w:pPr>
              <w:pStyle w:val="AO1"/>
              <w:numPr>
                <w:ilvl w:val="0"/>
                <w:numId w:val="40"/>
              </w:numPr>
              <w:rPr>
                <w:b/>
                <w:bCs/>
              </w:rPr>
            </w:pPr>
            <w:r w:rsidRPr="00474F22">
              <w:rPr>
                <w:b/>
                <w:bCs/>
              </w:rPr>
              <w:t>ING BANK</w:t>
            </w:r>
            <w:r w:rsidR="00E97C5A">
              <w:rPr>
                <w:b/>
                <w:bCs/>
              </w:rPr>
              <w:t>, A BRANCH OF ING</w:t>
            </w:r>
            <w:r w:rsidR="00DB70C8">
              <w:rPr>
                <w:b/>
                <w:bCs/>
              </w:rPr>
              <w:t>-</w:t>
            </w:r>
            <w:r w:rsidR="00E97C5A">
              <w:rPr>
                <w:b/>
                <w:bCs/>
              </w:rPr>
              <w:t>DIBA AG</w:t>
            </w:r>
          </w:p>
        </w:tc>
        <w:tc>
          <w:tcPr>
            <w:tcW w:w="2500" w:type="pct"/>
            <w:shd w:val="clear" w:color="auto" w:fill="auto"/>
          </w:tcPr>
          <w:p w14:paraId="7184702B" w14:textId="4337256C" w:rsidR="00474F22" w:rsidRPr="00195BC9" w:rsidRDefault="00474F22" w:rsidP="00316E16">
            <w:pPr>
              <w:pStyle w:val="AODocTxt"/>
              <w:numPr>
                <w:ilvl w:val="0"/>
                <w:numId w:val="33"/>
              </w:numPr>
              <w:ind w:hanging="720"/>
              <w:rPr>
                <w:b/>
                <w:bCs/>
              </w:rPr>
            </w:pPr>
            <w:r w:rsidRPr="00195BC9">
              <w:rPr>
                <w:b/>
                <w:bCs/>
              </w:rPr>
              <w:t>ING BANK</w:t>
            </w:r>
            <w:r w:rsidR="00E97C5A">
              <w:rPr>
                <w:b/>
                <w:bCs/>
              </w:rPr>
              <w:t>, A BRANCH OF ING</w:t>
            </w:r>
            <w:r w:rsidR="00DB70C8">
              <w:rPr>
                <w:b/>
                <w:bCs/>
              </w:rPr>
              <w:t>-</w:t>
            </w:r>
            <w:r w:rsidR="00E97C5A">
              <w:rPr>
                <w:b/>
                <w:bCs/>
              </w:rPr>
              <w:t>DIBA AG</w:t>
            </w:r>
          </w:p>
        </w:tc>
      </w:tr>
      <w:tr w:rsidR="00474F22" w:rsidRPr="006B2A14" w14:paraId="57B1949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5595272" w14:textId="2A53F6C4" w:rsidR="00474F22" w:rsidRPr="0008650A" w:rsidRDefault="00474F22" w:rsidP="007E2625">
            <w:pPr>
              <w:pStyle w:val="AO1"/>
              <w:numPr>
                <w:ilvl w:val="0"/>
                <w:numId w:val="40"/>
              </w:numPr>
              <w:rPr>
                <w:b/>
                <w:bCs/>
                <w:lang w:val="it-IT"/>
              </w:rPr>
            </w:pPr>
            <w:r w:rsidRPr="0008650A">
              <w:rPr>
                <w:b/>
                <w:bCs/>
                <w:lang w:val="it-IT"/>
              </w:rPr>
              <w:t>INTESA SANPAOLO BANK IRELAND PLC</w:t>
            </w:r>
          </w:p>
        </w:tc>
        <w:tc>
          <w:tcPr>
            <w:tcW w:w="2500" w:type="pct"/>
            <w:shd w:val="clear" w:color="auto" w:fill="auto"/>
          </w:tcPr>
          <w:p w14:paraId="6EBCAFCF" w14:textId="00C9EE25" w:rsidR="00474F22" w:rsidRPr="00316E16" w:rsidRDefault="00474F22" w:rsidP="00316E16">
            <w:pPr>
              <w:pStyle w:val="AODocTxt"/>
              <w:numPr>
                <w:ilvl w:val="0"/>
                <w:numId w:val="33"/>
              </w:numPr>
              <w:ind w:hanging="720"/>
              <w:rPr>
                <w:b/>
                <w:bCs/>
              </w:rPr>
            </w:pPr>
            <w:r w:rsidRPr="00316E16">
              <w:rPr>
                <w:b/>
                <w:bCs/>
              </w:rPr>
              <w:t>INTESA SANPAOLO BANK IRELAND PLC</w:t>
            </w:r>
          </w:p>
        </w:tc>
      </w:tr>
      <w:tr w:rsidR="00474F22" w:rsidRPr="00901F23" w14:paraId="1466B34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29DDFAF" w14:textId="6C999DC8" w:rsidR="00474F22" w:rsidRPr="00474F22" w:rsidRDefault="00474F22" w:rsidP="007E2625">
            <w:pPr>
              <w:pStyle w:val="AO1"/>
              <w:numPr>
                <w:ilvl w:val="0"/>
                <w:numId w:val="40"/>
              </w:numPr>
              <w:rPr>
                <w:b/>
                <w:bCs/>
              </w:rPr>
            </w:pPr>
            <w:r w:rsidRPr="00474F22">
              <w:rPr>
                <w:b/>
                <w:bCs/>
              </w:rPr>
              <w:t>SGBTCI</w:t>
            </w:r>
          </w:p>
        </w:tc>
        <w:tc>
          <w:tcPr>
            <w:tcW w:w="2500" w:type="pct"/>
            <w:shd w:val="clear" w:color="auto" w:fill="auto"/>
          </w:tcPr>
          <w:p w14:paraId="0D9B2853" w14:textId="28E32055" w:rsidR="00474F22" w:rsidRPr="00195BC9" w:rsidRDefault="00474F22" w:rsidP="00316E16">
            <w:pPr>
              <w:pStyle w:val="AODocTxt"/>
              <w:numPr>
                <w:ilvl w:val="0"/>
                <w:numId w:val="33"/>
              </w:numPr>
              <w:ind w:hanging="720"/>
              <w:rPr>
                <w:b/>
                <w:bCs/>
              </w:rPr>
            </w:pPr>
            <w:r w:rsidRPr="00195BC9">
              <w:rPr>
                <w:b/>
                <w:bCs/>
              </w:rPr>
              <w:t>SGBTCI</w:t>
            </w:r>
          </w:p>
        </w:tc>
      </w:tr>
      <w:tr w:rsidR="00DE355D" w:rsidRPr="00901F23" w14:paraId="4BF9938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81C6AC7" w14:textId="372D7CC5" w:rsidR="00DE355D" w:rsidRPr="00316E16" w:rsidRDefault="00DE355D" w:rsidP="00DE355D">
            <w:pPr>
              <w:pStyle w:val="AODocTxt"/>
              <w:rPr>
                <w:b/>
                <w:bCs/>
                <w:lang w:val="es-ES"/>
              </w:rPr>
            </w:pPr>
            <w:r w:rsidRPr="00E53971">
              <w:rPr>
                <w:lang w:val="es-ES"/>
              </w:rPr>
              <w:t xml:space="preserve">En adelante, </w:t>
            </w:r>
            <w:r>
              <w:rPr>
                <w:lang w:val="es-ES"/>
              </w:rPr>
              <w:t>las entidades enumeradas en los apartados (8</w:t>
            </w:r>
            <w:r w:rsidR="00E81EBD">
              <w:rPr>
                <w:lang w:val="es-ES"/>
              </w:rPr>
              <w:t>7</w:t>
            </w:r>
            <w:r>
              <w:rPr>
                <w:lang w:val="es-ES"/>
              </w:rPr>
              <w:t>) a (9</w:t>
            </w:r>
            <w:r w:rsidR="00E81EBD">
              <w:rPr>
                <w:lang w:val="es-ES"/>
              </w:rPr>
              <w:t>3</w:t>
            </w:r>
            <w:r>
              <w:rPr>
                <w:lang w:val="es-ES"/>
              </w:rPr>
              <w:t xml:space="preserve">) anteriores (ambos inclusive), </w:t>
            </w:r>
            <w:r w:rsidRPr="00BB0700">
              <w:rPr>
                <w:lang w:val="es-ES"/>
              </w:rPr>
              <w:t>en su condición de entidad</w:t>
            </w:r>
            <w:r>
              <w:rPr>
                <w:lang w:val="es-ES"/>
              </w:rPr>
              <w:t>es</w:t>
            </w:r>
            <w:r w:rsidRPr="00BB0700">
              <w:rPr>
                <w:lang w:val="es-ES"/>
              </w:rPr>
              <w:t xml:space="preserve"> financiadora</w:t>
            </w:r>
            <w:r>
              <w:rPr>
                <w:lang w:val="es-ES"/>
              </w:rPr>
              <w:t>s</w:t>
            </w:r>
            <w:r w:rsidRPr="00BB0700">
              <w:rPr>
                <w:lang w:val="es-ES"/>
              </w:rPr>
              <w:t xml:space="preserve"> bajo el </w:t>
            </w:r>
            <w:r>
              <w:rPr>
                <w:lang w:val="es-ES"/>
              </w:rPr>
              <w:t>Contrato de Crédito MRF 2024</w:t>
            </w:r>
            <w:r w:rsidRPr="00BB0700">
              <w:rPr>
                <w:lang w:val="es-ES"/>
              </w:rPr>
              <w:t xml:space="preserve"> </w:t>
            </w:r>
            <w:r>
              <w:rPr>
                <w:lang w:val="es-ES"/>
              </w:rPr>
              <w:t>(</w:t>
            </w:r>
            <w:r w:rsidRPr="00AB6262">
              <w:rPr>
                <w:i/>
                <w:iCs/>
                <w:lang w:val="es-ES"/>
              </w:rPr>
              <w:t>2024</w:t>
            </w:r>
            <w:r>
              <w:rPr>
                <w:lang w:val="es-ES"/>
              </w:rPr>
              <w:t xml:space="preserve"> </w:t>
            </w:r>
            <w:proofErr w:type="spellStart"/>
            <w:r>
              <w:rPr>
                <w:i/>
                <w:iCs/>
                <w:lang w:val="es-ES"/>
              </w:rPr>
              <w:t>Maintenance</w:t>
            </w:r>
            <w:proofErr w:type="spellEnd"/>
            <w:r>
              <w:rPr>
                <w:i/>
                <w:iCs/>
                <w:lang w:val="es-ES"/>
              </w:rPr>
              <w:t xml:space="preserve"> Reserve </w:t>
            </w:r>
            <w:proofErr w:type="spellStart"/>
            <w:r>
              <w:rPr>
                <w:i/>
                <w:iCs/>
                <w:lang w:val="es-ES"/>
              </w:rPr>
              <w:t>Facility</w:t>
            </w:r>
            <w:proofErr w:type="spellEnd"/>
            <w:r>
              <w:rPr>
                <w:i/>
                <w:iCs/>
                <w:lang w:val="es-ES"/>
              </w:rPr>
              <w:t xml:space="preserve"> </w:t>
            </w:r>
            <w:proofErr w:type="spellStart"/>
            <w:r>
              <w:rPr>
                <w:i/>
                <w:iCs/>
                <w:lang w:val="es-ES"/>
              </w:rPr>
              <w:t>Agreement</w:t>
            </w:r>
            <w:proofErr w:type="spellEnd"/>
            <w:r w:rsidRPr="00BB0700">
              <w:rPr>
                <w:lang w:val="es-ES" w:eastAsia="en-GB" w:bidi="en-GB"/>
              </w:rPr>
              <w:t>)</w:t>
            </w:r>
            <w:r w:rsidRPr="00BB0700">
              <w:rPr>
                <w:lang w:val="es-ES"/>
              </w:rPr>
              <w:t xml:space="preserve"> o cualquier entidad que ostente en cada momento tal condición, serán referidas como las</w:t>
            </w:r>
            <w:r w:rsidRPr="00BB0700">
              <w:rPr>
                <w:b/>
                <w:lang w:val="es-ES"/>
              </w:rPr>
              <w:t xml:space="preserve"> </w:t>
            </w:r>
            <w:r>
              <w:rPr>
                <w:b/>
                <w:lang w:val="es-ES"/>
              </w:rPr>
              <w:t xml:space="preserve">Entidades Financiadoras </w:t>
            </w:r>
            <w:proofErr w:type="spellStart"/>
            <w:r>
              <w:rPr>
                <w:b/>
                <w:lang w:val="es-ES"/>
              </w:rPr>
              <w:t>Revolving</w:t>
            </w:r>
            <w:proofErr w:type="spellEnd"/>
            <w:r>
              <w:rPr>
                <w:b/>
                <w:lang w:val="es-ES"/>
              </w:rPr>
              <w:t xml:space="preserve"> MRF 2024 </w:t>
            </w:r>
            <w:r w:rsidRPr="00BB0700">
              <w:rPr>
                <w:lang w:val="es-ES"/>
              </w:rPr>
              <w:t xml:space="preserve">y cada una de ellas, de forma individual, una </w:t>
            </w:r>
            <w:r>
              <w:rPr>
                <w:b/>
                <w:lang w:val="es-ES"/>
              </w:rPr>
              <w:t xml:space="preserve">Entidad Financiadora </w:t>
            </w:r>
            <w:proofErr w:type="spellStart"/>
            <w:r>
              <w:rPr>
                <w:b/>
                <w:lang w:val="es-ES"/>
              </w:rPr>
              <w:t>Revolving</w:t>
            </w:r>
            <w:proofErr w:type="spellEnd"/>
            <w:r>
              <w:rPr>
                <w:b/>
                <w:lang w:val="es-ES"/>
              </w:rPr>
              <w:t xml:space="preserve"> MRF  2024</w:t>
            </w:r>
            <w:r w:rsidRPr="00BB0700">
              <w:rPr>
                <w:lang w:val="es-ES"/>
              </w:rPr>
              <w:t>.</w:t>
            </w:r>
          </w:p>
        </w:tc>
        <w:tc>
          <w:tcPr>
            <w:tcW w:w="2500" w:type="pct"/>
            <w:shd w:val="clear" w:color="auto" w:fill="auto"/>
          </w:tcPr>
          <w:p w14:paraId="153922D2" w14:textId="42F1AD7B" w:rsidR="00DE355D" w:rsidRPr="00DE355D" w:rsidRDefault="00DE355D" w:rsidP="00DE355D">
            <w:pPr>
              <w:pStyle w:val="AODocTxt"/>
              <w:rPr>
                <w:b/>
                <w:bCs/>
              </w:rPr>
            </w:pPr>
            <w:r w:rsidRPr="00901F23">
              <w:t xml:space="preserve">Hereinafter, </w:t>
            </w:r>
            <w:r>
              <w:t>the entities listed in sections</w:t>
            </w:r>
            <w:r w:rsidRPr="00F25678">
              <w:t xml:space="preserve"> (</w:t>
            </w:r>
            <w:r w:rsidR="00E81EBD">
              <w:t>87</w:t>
            </w:r>
            <w:r>
              <w:t>) to</w:t>
            </w:r>
            <w:r w:rsidRPr="00265457">
              <w:t xml:space="preserve"> </w:t>
            </w:r>
            <w:r w:rsidRPr="00F25678">
              <w:t>(</w:t>
            </w:r>
            <w:r>
              <w:t>9</w:t>
            </w:r>
            <w:r w:rsidR="00E81EBD">
              <w:t>3</w:t>
            </w:r>
            <w:r>
              <w:t>)</w:t>
            </w:r>
            <w:r w:rsidRPr="00265457">
              <w:t xml:space="preserve"> </w:t>
            </w:r>
            <w:r>
              <w:t>above (both included),</w:t>
            </w:r>
            <w:r w:rsidRPr="00901F23">
              <w:t xml:space="preserve"> </w:t>
            </w:r>
            <w:r w:rsidRPr="00BB0700">
              <w:t xml:space="preserve">as </w:t>
            </w:r>
            <w:r w:rsidRPr="00BB0700">
              <w:rPr>
                <w:lang w:eastAsia="en-GB" w:bidi="en-GB"/>
              </w:rPr>
              <w:t>lender</w:t>
            </w:r>
            <w:r>
              <w:rPr>
                <w:lang w:eastAsia="en-GB" w:bidi="en-GB"/>
              </w:rPr>
              <w:t>s</w:t>
            </w:r>
            <w:r w:rsidRPr="00BB0700">
              <w:rPr>
                <w:lang w:eastAsia="en-GB" w:bidi="en-GB"/>
              </w:rPr>
              <w:t xml:space="preserve"> under the </w:t>
            </w:r>
            <w:r w:rsidRPr="00BD1587">
              <w:t>2024 Maintenance Reserve Facility Agreement</w:t>
            </w:r>
            <w:r>
              <w:t>,</w:t>
            </w:r>
            <w:r w:rsidRPr="00BB0700">
              <w:t xml:space="preserve"> or any other entity holding such position from time to time</w:t>
            </w:r>
            <w:r>
              <w:t xml:space="preserve">, shall be referred to as </w:t>
            </w:r>
            <w:r w:rsidRPr="00BB0700">
              <w:t xml:space="preserve">the </w:t>
            </w:r>
            <w:r>
              <w:rPr>
                <w:b/>
              </w:rPr>
              <w:t xml:space="preserve">MRF Revolving </w:t>
            </w:r>
            <w:r w:rsidRPr="00BB0700">
              <w:rPr>
                <w:b/>
              </w:rPr>
              <w:t>Lender</w:t>
            </w:r>
            <w:r>
              <w:rPr>
                <w:b/>
              </w:rPr>
              <w:t>s</w:t>
            </w:r>
            <w:r w:rsidRPr="00BB0700">
              <w:rPr>
                <w:b/>
              </w:rPr>
              <w:t xml:space="preserve"> 202</w:t>
            </w:r>
            <w:r>
              <w:rPr>
                <w:b/>
              </w:rPr>
              <w:t>4</w:t>
            </w:r>
            <w:r w:rsidRPr="00BB0700">
              <w:t xml:space="preserve"> and each of them individually, a </w:t>
            </w:r>
            <w:r>
              <w:rPr>
                <w:b/>
              </w:rPr>
              <w:t>MRF Revolving L</w:t>
            </w:r>
            <w:r w:rsidRPr="00BB0700">
              <w:rPr>
                <w:b/>
              </w:rPr>
              <w:t>ender</w:t>
            </w:r>
            <w:r>
              <w:t xml:space="preserve"> </w:t>
            </w:r>
            <w:r w:rsidRPr="00BB0700">
              <w:rPr>
                <w:b/>
              </w:rPr>
              <w:t>202</w:t>
            </w:r>
            <w:r>
              <w:rPr>
                <w:b/>
              </w:rPr>
              <w:t>4</w:t>
            </w:r>
            <w:r>
              <w:t>.</w:t>
            </w:r>
          </w:p>
        </w:tc>
      </w:tr>
      <w:tr w:rsidR="00DE355D" w:rsidRPr="00901F23" w14:paraId="5CD80D0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2DB3B9A" w14:textId="3AE92784" w:rsidR="00DE355D" w:rsidRPr="00316E16" w:rsidRDefault="00DE355D" w:rsidP="00316E16">
            <w:pPr>
              <w:pStyle w:val="AODocTxt"/>
              <w:rPr>
                <w:b/>
                <w:bCs/>
              </w:rPr>
            </w:pPr>
            <w:r w:rsidRPr="00316E16">
              <w:rPr>
                <w:b/>
                <w:bCs/>
              </w:rPr>
              <w:t xml:space="preserve">De </w:t>
            </w:r>
            <w:proofErr w:type="spellStart"/>
            <w:r w:rsidRPr="00316E16">
              <w:rPr>
                <w:b/>
                <w:bCs/>
              </w:rPr>
              <w:t>otra</w:t>
            </w:r>
            <w:proofErr w:type="spellEnd"/>
            <w:r w:rsidRPr="00316E16">
              <w:rPr>
                <w:b/>
                <w:bCs/>
              </w:rPr>
              <w:t xml:space="preserve"> </w:t>
            </w:r>
            <w:proofErr w:type="spellStart"/>
            <w:r w:rsidRPr="00316E16">
              <w:rPr>
                <w:b/>
                <w:bCs/>
              </w:rPr>
              <w:t>parte</w:t>
            </w:r>
            <w:proofErr w:type="spellEnd"/>
            <w:r w:rsidRPr="00316E16">
              <w:rPr>
                <w:b/>
                <w:bCs/>
              </w:rPr>
              <w:t>,</w:t>
            </w:r>
          </w:p>
        </w:tc>
        <w:tc>
          <w:tcPr>
            <w:tcW w:w="2500" w:type="pct"/>
            <w:shd w:val="clear" w:color="auto" w:fill="auto"/>
          </w:tcPr>
          <w:p w14:paraId="5F8A6F2D" w14:textId="1D9DC5C0" w:rsidR="00DE355D" w:rsidRPr="00316E16" w:rsidRDefault="00DE355D" w:rsidP="00316E16">
            <w:pPr>
              <w:pStyle w:val="AODocTxt"/>
              <w:rPr>
                <w:b/>
                <w:bCs/>
              </w:rPr>
            </w:pPr>
            <w:r w:rsidRPr="00316E16">
              <w:rPr>
                <w:b/>
                <w:bCs/>
              </w:rPr>
              <w:t>On the other hand,</w:t>
            </w:r>
          </w:p>
        </w:tc>
      </w:tr>
      <w:tr w:rsidR="00DE355D" w:rsidRPr="00BE4B3B" w14:paraId="6235266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CD085AE" w14:textId="05CF52BF" w:rsidR="00DE355D" w:rsidRPr="00316E16" w:rsidRDefault="003011B5" w:rsidP="007E2625">
            <w:pPr>
              <w:pStyle w:val="AO1"/>
              <w:numPr>
                <w:ilvl w:val="0"/>
                <w:numId w:val="40"/>
              </w:numPr>
              <w:rPr>
                <w:b/>
                <w:bCs/>
                <w:lang w:val="es-ES"/>
              </w:rPr>
            </w:pPr>
            <w:r>
              <w:rPr>
                <w:b/>
                <w:bCs/>
                <w:lang w:val="es-ES"/>
              </w:rPr>
              <w:t>[</w:t>
            </w:r>
            <w:r>
              <w:rPr>
                <w:b/>
                <w:bCs/>
                <w:lang w:val="es-ES"/>
              </w:rPr>
              <w:sym w:font="Wingdings" w:char="F06C"/>
            </w:r>
            <w:r>
              <w:rPr>
                <w:b/>
                <w:bCs/>
                <w:lang w:val="es-ES"/>
              </w:rPr>
              <w:t>]</w:t>
            </w:r>
          </w:p>
        </w:tc>
        <w:tc>
          <w:tcPr>
            <w:tcW w:w="2500" w:type="pct"/>
            <w:shd w:val="clear" w:color="auto" w:fill="auto"/>
          </w:tcPr>
          <w:p w14:paraId="16A5658A" w14:textId="5AD20FAA" w:rsidR="00DE355D" w:rsidRPr="00316E16" w:rsidRDefault="003011B5" w:rsidP="00316E16">
            <w:pPr>
              <w:pStyle w:val="AODocTxt"/>
              <w:numPr>
                <w:ilvl w:val="0"/>
                <w:numId w:val="33"/>
              </w:numPr>
              <w:ind w:hanging="720"/>
              <w:rPr>
                <w:b/>
                <w:bCs/>
                <w:lang w:val="es-ES"/>
              </w:rPr>
            </w:pPr>
            <w:r>
              <w:rPr>
                <w:b/>
                <w:bCs/>
                <w:lang w:val="es-ES"/>
              </w:rPr>
              <w:t>[</w:t>
            </w:r>
            <w:r>
              <w:rPr>
                <w:b/>
                <w:bCs/>
                <w:lang w:val="es-ES"/>
              </w:rPr>
              <w:sym w:font="Wingdings" w:char="F06C"/>
            </w:r>
            <w:r>
              <w:rPr>
                <w:b/>
                <w:bCs/>
                <w:lang w:val="es-ES"/>
              </w:rPr>
              <w:t>]</w:t>
            </w:r>
          </w:p>
        </w:tc>
      </w:tr>
      <w:tr w:rsidR="00C247A7" w:rsidRPr="00316E16" w14:paraId="7AB1F5C5" w14:textId="77777777" w:rsidTr="00A4106E">
        <w:tblPrEx>
          <w:jc w:val="left"/>
          <w:tblCellMar>
            <w:left w:w="115" w:type="dxa"/>
            <w:right w:w="115" w:type="dxa"/>
          </w:tblCellMar>
          <w:tblLook w:val="04A0" w:firstRow="1" w:lastRow="0" w:firstColumn="1" w:lastColumn="0" w:noHBand="0" w:noVBand="1"/>
        </w:tblPrEx>
        <w:trPr>
          <w:trHeight w:val="171"/>
        </w:trPr>
        <w:tc>
          <w:tcPr>
            <w:tcW w:w="2500" w:type="pct"/>
            <w:shd w:val="clear" w:color="auto" w:fill="auto"/>
          </w:tcPr>
          <w:p w14:paraId="006FA402" w14:textId="4EE82E7E" w:rsidR="00C247A7" w:rsidRPr="00316E16" w:rsidRDefault="003011B5" w:rsidP="00316E16">
            <w:pPr>
              <w:pStyle w:val="AO1"/>
              <w:numPr>
                <w:ilvl w:val="0"/>
                <w:numId w:val="40"/>
              </w:numPr>
              <w:rPr>
                <w:b/>
                <w:bCs/>
              </w:rPr>
            </w:pPr>
            <w:r>
              <w:rPr>
                <w:b/>
                <w:bCs/>
                <w:lang w:val="es-ES"/>
              </w:rPr>
              <w:t>[</w:t>
            </w:r>
            <w:r>
              <w:rPr>
                <w:b/>
                <w:bCs/>
                <w:lang w:val="es-ES"/>
              </w:rPr>
              <w:sym w:font="Wingdings" w:char="F06C"/>
            </w:r>
            <w:r>
              <w:rPr>
                <w:b/>
                <w:bCs/>
                <w:lang w:val="es-ES"/>
              </w:rPr>
              <w:t>]</w:t>
            </w:r>
          </w:p>
        </w:tc>
        <w:tc>
          <w:tcPr>
            <w:tcW w:w="2500" w:type="pct"/>
            <w:shd w:val="clear" w:color="auto" w:fill="auto"/>
          </w:tcPr>
          <w:p w14:paraId="55F387EA" w14:textId="3EE0FC0E" w:rsidR="00C247A7" w:rsidRPr="00316E16" w:rsidRDefault="003011B5" w:rsidP="00316E16">
            <w:pPr>
              <w:pStyle w:val="AODocTxt"/>
              <w:numPr>
                <w:ilvl w:val="0"/>
                <w:numId w:val="33"/>
              </w:numPr>
              <w:ind w:hanging="720"/>
              <w:rPr>
                <w:b/>
                <w:bCs/>
              </w:rPr>
            </w:pPr>
            <w:r>
              <w:rPr>
                <w:b/>
                <w:bCs/>
                <w:lang w:val="es-ES"/>
              </w:rPr>
              <w:t>[</w:t>
            </w:r>
            <w:r>
              <w:rPr>
                <w:b/>
                <w:bCs/>
                <w:lang w:val="es-ES"/>
              </w:rPr>
              <w:sym w:font="Wingdings" w:char="F06C"/>
            </w:r>
            <w:r>
              <w:rPr>
                <w:b/>
                <w:bCs/>
                <w:lang w:val="es-ES"/>
              </w:rPr>
              <w:t>]</w:t>
            </w:r>
          </w:p>
        </w:tc>
      </w:tr>
      <w:tr w:rsidR="00AF3609" w:rsidRPr="00943073" w14:paraId="6022965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CAC47A6" w14:textId="68D1DC1A" w:rsidR="00AF3609" w:rsidRPr="00316E16" w:rsidRDefault="00AF3609" w:rsidP="00316E16">
            <w:pPr>
              <w:pStyle w:val="AODocTxt"/>
              <w:rPr>
                <w:lang w:val="es-ES"/>
              </w:rPr>
            </w:pPr>
            <w:r w:rsidRPr="00B4039A">
              <w:rPr>
                <w:lang w:val="es-ES"/>
              </w:rPr>
              <w:t>En adelante, las entidades enumeradas en los apartados (</w:t>
            </w:r>
            <w:r>
              <w:rPr>
                <w:lang w:val="es-ES"/>
              </w:rPr>
              <w:t>9</w:t>
            </w:r>
            <w:r w:rsidR="00E81EBD">
              <w:rPr>
                <w:lang w:val="es-ES"/>
              </w:rPr>
              <w:t>4</w:t>
            </w:r>
            <w:r w:rsidRPr="00B4039A">
              <w:rPr>
                <w:lang w:val="es-ES"/>
              </w:rPr>
              <w:t>) a (</w:t>
            </w:r>
            <w:r>
              <w:rPr>
                <w:lang w:val="es-ES"/>
              </w:rPr>
              <w:t>9</w:t>
            </w:r>
            <w:r w:rsidR="00E81EBD">
              <w:rPr>
                <w:lang w:val="es-ES"/>
              </w:rPr>
              <w:t>5</w:t>
            </w:r>
            <w:r>
              <w:rPr>
                <w:lang w:val="es-ES"/>
              </w:rPr>
              <w:t>)</w:t>
            </w:r>
            <w:r w:rsidRPr="00B4039A">
              <w:rPr>
                <w:lang w:val="es-ES"/>
              </w:rPr>
              <w:t xml:space="preserve"> anteriores (ambos inclusive), </w:t>
            </w:r>
            <w:r w:rsidRPr="00B4039A">
              <w:rPr>
                <w:lang w:val="es-ES"/>
              </w:rPr>
              <w:lastRenderedPageBreak/>
              <w:t>en su condición de entidades financiadoras bajo el Contrato de Crédito Autorizado 202</w:t>
            </w:r>
            <w:r>
              <w:rPr>
                <w:lang w:val="es-ES"/>
              </w:rPr>
              <w:t>5</w:t>
            </w:r>
            <w:r w:rsidRPr="00B4039A">
              <w:rPr>
                <w:lang w:val="es-ES"/>
              </w:rPr>
              <w:t xml:space="preserve"> (</w:t>
            </w:r>
            <w:r w:rsidRPr="00B4039A">
              <w:rPr>
                <w:i/>
                <w:iCs/>
                <w:lang w:val="es-ES"/>
              </w:rPr>
              <w:t>20</w:t>
            </w:r>
            <w:r>
              <w:rPr>
                <w:i/>
                <w:iCs/>
                <w:lang w:val="es-ES"/>
              </w:rPr>
              <w:t>25</w:t>
            </w:r>
            <w:r w:rsidRPr="00B4039A">
              <w:rPr>
                <w:i/>
                <w:iCs/>
                <w:lang w:val="es-ES"/>
              </w:rPr>
              <w:t xml:space="preserve"> </w:t>
            </w:r>
            <w:proofErr w:type="spellStart"/>
            <w:r w:rsidRPr="00B4039A">
              <w:rPr>
                <w:i/>
                <w:iCs/>
                <w:lang w:val="es-ES"/>
              </w:rPr>
              <w:t>Authorised</w:t>
            </w:r>
            <w:proofErr w:type="spellEnd"/>
            <w:r w:rsidRPr="00B4039A">
              <w:rPr>
                <w:i/>
                <w:iCs/>
                <w:lang w:val="es-ES"/>
              </w:rPr>
              <w:t xml:space="preserve"> </w:t>
            </w:r>
            <w:proofErr w:type="spellStart"/>
            <w:r w:rsidRPr="00B4039A">
              <w:rPr>
                <w:i/>
                <w:iCs/>
                <w:lang w:val="es-ES"/>
              </w:rPr>
              <w:t>Credit</w:t>
            </w:r>
            <w:proofErr w:type="spellEnd"/>
            <w:r w:rsidRPr="00B4039A">
              <w:rPr>
                <w:i/>
                <w:iCs/>
                <w:lang w:val="es-ES"/>
              </w:rPr>
              <w:t xml:space="preserve"> Facilities</w:t>
            </w:r>
            <w:r w:rsidRPr="00B4039A">
              <w:rPr>
                <w:i/>
                <w:lang w:val="es-ES" w:eastAsia="en-GB" w:bidi="en-GB"/>
              </w:rPr>
              <w:t xml:space="preserve"> </w:t>
            </w:r>
            <w:proofErr w:type="spellStart"/>
            <w:r w:rsidRPr="00B4039A">
              <w:rPr>
                <w:i/>
                <w:lang w:val="es-ES" w:eastAsia="en-GB" w:bidi="en-GB"/>
              </w:rPr>
              <w:t>Agreement</w:t>
            </w:r>
            <w:proofErr w:type="spellEnd"/>
            <w:r w:rsidRPr="00B4039A">
              <w:rPr>
                <w:lang w:val="es-ES" w:eastAsia="en-GB" w:bidi="en-GB"/>
              </w:rPr>
              <w:t>)</w:t>
            </w:r>
            <w:r w:rsidRPr="00B4039A">
              <w:rPr>
                <w:lang w:val="es-ES"/>
              </w:rPr>
              <w:t xml:space="preserve"> o cualquier entidad que ostente en cada momento tal condición, serán referidas como las</w:t>
            </w:r>
            <w:r w:rsidRPr="00B4039A">
              <w:rPr>
                <w:b/>
                <w:lang w:val="es-ES"/>
              </w:rPr>
              <w:t xml:space="preserve"> Entidades Financiadoras ACF 202</w:t>
            </w:r>
            <w:r>
              <w:rPr>
                <w:b/>
                <w:lang w:val="es-ES"/>
              </w:rPr>
              <w:t>5</w:t>
            </w:r>
            <w:r w:rsidRPr="00B4039A">
              <w:rPr>
                <w:b/>
                <w:lang w:val="es-ES"/>
              </w:rPr>
              <w:t xml:space="preserve"> </w:t>
            </w:r>
            <w:r w:rsidRPr="00B4039A">
              <w:rPr>
                <w:lang w:val="es-ES"/>
              </w:rPr>
              <w:t xml:space="preserve">y cada una de ellas, de forma individual, una </w:t>
            </w:r>
            <w:r w:rsidRPr="00B4039A">
              <w:rPr>
                <w:b/>
                <w:lang w:val="es-ES"/>
              </w:rPr>
              <w:t>Entidad Financiadora ACF 202</w:t>
            </w:r>
            <w:r>
              <w:rPr>
                <w:b/>
                <w:lang w:val="es-ES"/>
              </w:rPr>
              <w:t>5</w:t>
            </w:r>
            <w:r w:rsidRPr="00B4039A">
              <w:rPr>
                <w:lang w:val="es-ES"/>
              </w:rPr>
              <w:t>.</w:t>
            </w:r>
          </w:p>
        </w:tc>
        <w:tc>
          <w:tcPr>
            <w:tcW w:w="2500" w:type="pct"/>
            <w:shd w:val="clear" w:color="auto" w:fill="auto"/>
          </w:tcPr>
          <w:p w14:paraId="384592EE" w14:textId="56D994E5" w:rsidR="00AF3609" w:rsidRPr="00316E16" w:rsidRDefault="00AF3609" w:rsidP="00316E16">
            <w:pPr>
              <w:pStyle w:val="AODocTxt"/>
            </w:pPr>
            <w:r w:rsidRPr="00B4039A">
              <w:lastRenderedPageBreak/>
              <w:t>Hereinafter, the entities listed in sections (</w:t>
            </w:r>
            <w:r w:rsidR="00E81EBD">
              <w:t>94</w:t>
            </w:r>
            <w:r w:rsidRPr="00B4039A">
              <w:t>) to (</w:t>
            </w:r>
            <w:r>
              <w:t>9</w:t>
            </w:r>
            <w:r w:rsidR="00E81EBD">
              <w:t>5</w:t>
            </w:r>
            <w:r w:rsidRPr="00B4039A">
              <w:t xml:space="preserve">) above (both included), as </w:t>
            </w:r>
            <w:r w:rsidRPr="00B4039A">
              <w:rPr>
                <w:lang w:eastAsia="en-GB" w:bidi="en-GB"/>
              </w:rPr>
              <w:t xml:space="preserve">lenders under the </w:t>
            </w:r>
            <w:r w:rsidRPr="00B4039A">
              <w:t>20</w:t>
            </w:r>
            <w:r>
              <w:t>25</w:t>
            </w:r>
            <w:r w:rsidRPr="00B4039A">
              <w:t xml:space="preserve"> </w:t>
            </w:r>
            <w:r w:rsidRPr="00B4039A">
              <w:lastRenderedPageBreak/>
              <w:t>Authorised Credit Facilities</w:t>
            </w:r>
            <w:r w:rsidRPr="00B4039A">
              <w:rPr>
                <w:lang w:eastAsia="en-GB" w:bidi="en-GB"/>
              </w:rPr>
              <w:t xml:space="preserve"> Agreement</w:t>
            </w:r>
            <w:r w:rsidRPr="00B4039A">
              <w:t xml:space="preserve">, or any other entity holding such position from time to time, shall be referred to as the </w:t>
            </w:r>
            <w:r w:rsidRPr="00B4039A">
              <w:rPr>
                <w:b/>
              </w:rPr>
              <w:t>ACF Lenders 202</w:t>
            </w:r>
            <w:r>
              <w:rPr>
                <w:b/>
              </w:rPr>
              <w:t>5</w:t>
            </w:r>
            <w:r w:rsidRPr="00B4039A">
              <w:t xml:space="preserve"> and each of them individually, a </w:t>
            </w:r>
            <w:r w:rsidRPr="00B4039A">
              <w:rPr>
                <w:b/>
              </w:rPr>
              <w:t>ACF Lender</w:t>
            </w:r>
            <w:r w:rsidRPr="00B4039A">
              <w:t xml:space="preserve"> </w:t>
            </w:r>
            <w:r w:rsidRPr="00B4039A">
              <w:rPr>
                <w:b/>
              </w:rPr>
              <w:t>202</w:t>
            </w:r>
            <w:r>
              <w:rPr>
                <w:b/>
              </w:rPr>
              <w:t>5</w:t>
            </w:r>
            <w:r w:rsidRPr="00B4039A">
              <w:t>.</w:t>
            </w:r>
          </w:p>
        </w:tc>
      </w:tr>
      <w:tr w:rsidR="000D089E" w:rsidRPr="00943073" w14:paraId="36B4D1A9" w14:textId="77777777" w:rsidTr="000D089E">
        <w:tblPrEx>
          <w:jc w:val="left"/>
          <w:tblCellMar>
            <w:left w:w="115" w:type="dxa"/>
            <w:right w:w="115" w:type="dxa"/>
          </w:tblCellMar>
          <w:tblLook w:val="04A0" w:firstRow="1" w:lastRow="0" w:firstColumn="1" w:lastColumn="0" w:noHBand="0" w:noVBand="1"/>
        </w:tblPrEx>
        <w:tc>
          <w:tcPr>
            <w:tcW w:w="5000" w:type="pct"/>
            <w:gridSpan w:val="2"/>
            <w:shd w:val="clear" w:color="auto" w:fill="auto"/>
          </w:tcPr>
          <w:p w14:paraId="44C43868" w14:textId="5FB5FE35" w:rsidR="000D089E" w:rsidRPr="00B4039A" w:rsidRDefault="000D089E" w:rsidP="000D089E">
            <w:pPr>
              <w:pStyle w:val="AODocTxt"/>
              <w:jc w:val="center"/>
            </w:pPr>
            <w:r w:rsidRPr="00316E16">
              <w:rPr>
                <w:b/>
                <w:bCs/>
              </w:rPr>
              <w:lastRenderedPageBreak/>
              <w:t>[</w:t>
            </w:r>
            <w:r w:rsidRPr="00316E16">
              <w:rPr>
                <w:b/>
                <w:bCs/>
                <w:highlight w:val="yellow"/>
              </w:rPr>
              <w:t xml:space="preserve">N.B.: </w:t>
            </w:r>
            <w:r>
              <w:rPr>
                <w:b/>
                <w:bCs/>
                <w:highlight w:val="yellow"/>
              </w:rPr>
              <w:t>ACF Lenders</w:t>
            </w:r>
            <w:r w:rsidRPr="00316E16">
              <w:rPr>
                <w:b/>
                <w:bCs/>
                <w:highlight w:val="yellow"/>
              </w:rPr>
              <w:t xml:space="preserve"> 2025 to be </w:t>
            </w:r>
            <w:r w:rsidR="00420248" w:rsidRPr="00420248">
              <w:rPr>
                <w:b/>
                <w:bCs/>
                <w:highlight w:val="yellow"/>
              </w:rPr>
              <w:t>confirmed</w:t>
            </w:r>
            <w:r>
              <w:rPr>
                <w:b/>
                <w:bCs/>
              </w:rPr>
              <w:t>]</w:t>
            </w:r>
          </w:p>
        </w:tc>
      </w:tr>
      <w:tr w:rsidR="000D089E" w:rsidRPr="00943073" w14:paraId="7AA405B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725152D" w14:textId="16E4F393" w:rsidR="000D089E" w:rsidRPr="00B4039A" w:rsidRDefault="000D089E" w:rsidP="000D089E">
            <w:pPr>
              <w:pStyle w:val="AODocTxt"/>
              <w:rPr>
                <w:lang w:val="es-ES"/>
              </w:rPr>
            </w:pPr>
            <w:r w:rsidRPr="00216294">
              <w:rPr>
                <w:b/>
                <w:bCs/>
              </w:rPr>
              <w:t xml:space="preserve">De </w:t>
            </w:r>
            <w:proofErr w:type="spellStart"/>
            <w:r w:rsidRPr="00216294">
              <w:rPr>
                <w:b/>
                <w:bCs/>
              </w:rPr>
              <w:t>otra</w:t>
            </w:r>
            <w:proofErr w:type="spellEnd"/>
            <w:r w:rsidRPr="00216294">
              <w:rPr>
                <w:b/>
                <w:bCs/>
              </w:rPr>
              <w:t xml:space="preserve"> </w:t>
            </w:r>
            <w:proofErr w:type="spellStart"/>
            <w:r w:rsidRPr="00216294">
              <w:rPr>
                <w:b/>
                <w:bCs/>
              </w:rPr>
              <w:t>parte</w:t>
            </w:r>
            <w:proofErr w:type="spellEnd"/>
            <w:r w:rsidRPr="00216294">
              <w:rPr>
                <w:b/>
                <w:bCs/>
              </w:rPr>
              <w:t>,</w:t>
            </w:r>
          </w:p>
        </w:tc>
        <w:tc>
          <w:tcPr>
            <w:tcW w:w="2500" w:type="pct"/>
            <w:shd w:val="clear" w:color="auto" w:fill="auto"/>
          </w:tcPr>
          <w:p w14:paraId="34AA0C3B" w14:textId="6860FEA7" w:rsidR="000D089E" w:rsidRPr="00B4039A" w:rsidRDefault="000D089E" w:rsidP="000D089E">
            <w:pPr>
              <w:pStyle w:val="AODocTxt"/>
            </w:pPr>
            <w:r w:rsidRPr="00216294">
              <w:rPr>
                <w:b/>
                <w:bCs/>
              </w:rPr>
              <w:t>On the other hand,</w:t>
            </w:r>
          </w:p>
        </w:tc>
      </w:tr>
      <w:tr w:rsidR="000D089E" w:rsidRPr="00943073" w14:paraId="3137B1C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E2BCBF7" w14:textId="5FAB2DBB" w:rsidR="000D089E" w:rsidRPr="00316E16" w:rsidRDefault="000D089E" w:rsidP="000D089E">
            <w:pPr>
              <w:pStyle w:val="AO1"/>
              <w:numPr>
                <w:ilvl w:val="0"/>
                <w:numId w:val="40"/>
              </w:numPr>
              <w:rPr>
                <w:b/>
                <w:bCs/>
                <w:lang w:val="es-ES"/>
              </w:rPr>
            </w:pPr>
            <w:r>
              <w:rPr>
                <w:b/>
                <w:bCs/>
                <w:lang w:val="es-ES"/>
              </w:rPr>
              <w:t>[</w:t>
            </w:r>
            <w:r>
              <w:rPr>
                <w:b/>
                <w:bCs/>
                <w:lang w:val="es-ES"/>
              </w:rPr>
              <w:sym w:font="Wingdings" w:char="F06C"/>
            </w:r>
            <w:r>
              <w:rPr>
                <w:b/>
                <w:bCs/>
                <w:lang w:val="es-ES"/>
              </w:rPr>
              <w:t>]</w:t>
            </w:r>
          </w:p>
        </w:tc>
        <w:tc>
          <w:tcPr>
            <w:tcW w:w="2500" w:type="pct"/>
            <w:shd w:val="clear" w:color="auto" w:fill="auto"/>
          </w:tcPr>
          <w:p w14:paraId="213CB6A6" w14:textId="474C51CE" w:rsidR="000D089E" w:rsidRPr="00316E16" w:rsidRDefault="000D089E" w:rsidP="000D089E">
            <w:pPr>
              <w:pStyle w:val="AODocTxt"/>
              <w:numPr>
                <w:ilvl w:val="0"/>
                <w:numId w:val="33"/>
              </w:numPr>
              <w:ind w:hanging="720"/>
              <w:rPr>
                <w:b/>
                <w:bCs/>
                <w:lang w:val="es-ES"/>
              </w:rPr>
            </w:pPr>
            <w:r>
              <w:rPr>
                <w:b/>
                <w:bCs/>
                <w:lang w:val="es-ES"/>
              </w:rPr>
              <w:t>[</w:t>
            </w:r>
            <w:r>
              <w:rPr>
                <w:b/>
                <w:bCs/>
                <w:lang w:val="es-ES"/>
              </w:rPr>
              <w:sym w:font="Wingdings" w:char="F06C"/>
            </w:r>
            <w:r>
              <w:rPr>
                <w:b/>
                <w:bCs/>
                <w:lang w:val="es-ES"/>
              </w:rPr>
              <w:t>]</w:t>
            </w:r>
          </w:p>
        </w:tc>
      </w:tr>
      <w:tr w:rsidR="000D089E" w:rsidRPr="00943073" w14:paraId="3EB7E62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EA4D260" w14:textId="33DE6BB8" w:rsidR="000D089E" w:rsidRDefault="000D089E" w:rsidP="000D089E">
            <w:pPr>
              <w:pStyle w:val="AO1"/>
              <w:numPr>
                <w:ilvl w:val="0"/>
                <w:numId w:val="40"/>
              </w:numPr>
              <w:rPr>
                <w:b/>
                <w:bCs/>
                <w:lang w:val="es-ES"/>
              </w:rPr>
            </w:pPr>
            <w:r>
              <w:rPr>
                <w:b/>
                <w:bCs/>
                <w:lang w:val="es-ES"/>
              </w:rPr>
              <w:t>[</w:t>
            </w:r>
            <w:r>
              <w:rPr>
                <w:b/>
                <w:bCs/>
                <w:lang w:val="es-ES"/>
              </w:rPr>
              <w:sym w:font="Wingdings" w:char="F06C"/>
            </w:r>
            <w:r>
              <w:rPr>
                <w:b/>
                <w:bCs/>
                <w:lang w:val="es-ES"/>
              </w:rPr>
              <w:t>]</w:t>
            </w:r>
          </w:p>
        </w:tc>
        <w:tc>
          <w:tcPr>
            <w:tcW w:w="2500" w:type="pct"/>
            <w:shd w:val="clear" w:color="auto" w:fill="auto"/>
          </w:tcPr>
          <w:p w14:paraId="44279CD1" w14:textId="49FDFB92" w:rsidR="000D089E" w:rsidRDefault="000D089E" w:rsidP="000D089E">
            <w:pPr>
              <w:pStyle w:val="AODocTxt"/>
              <w:numPr>
                <w:ilvl w:val="0"/>
                <w:numId w:val="33"/>
              </w:numPr>
              <w:ind w:hanging="720"/>
              <w:rPr>
                <w:b/>
                <w:bCs/>
                <w:lang w:val="es-ES"/>
              </w:rPr>
            </w:pPr>
            <w:r>
              <w:rPr>
                <w:b/>
                <w:bCs/>
                <w:lang w:val="es-ES"/>
              </w:rPr>
              <w:t>[</w:t>
            </w:r>
            <w:r>
              <w:rPr>
                <w:b/>
                <w:bCs/>
                <w:lang w:val="es-ES"/>
              </w:rPr>
              <w:sym w:font="Wingdings" w:char="F06C"/>
            </w:r>
            <w:r>
              <w:rPr>
                <w:b/>
                <w:bCs/>
                <w:lang w:val="es-ES"/>
              </w:rPr>
              <w:t>]</w:t>
            </w:r>
          </w:p>
        </w:tc>
      </w:tr>
      <w:tr w:rsidR="000D089E" w:rsidRPr="00943073" w14:paraId="0BD2F453" w14:textId="77777777" w:rsidTr="00422F96">
        <w:tblPrEx>
          <w:jc w:val="left"/>
          <w:tblCellMar>
            <w:left w:w="115" w:type="dxa"/>
            <w:right w:w="115" w:type="dxa"/>
          </w:tblCellMar>
          <w:tblLook w:val="04A0" w:firstRow="1" w:lastRow="0" w:firstColumn="1" w:lastColumn="0" w:noHBand="0" w:noVBand="1"/>
        </w:tblPrEx>
        <w:tc>
          <w:tcPr>
            <w:tcW w:w="5000" w:type="pct"/>
            <w:gridSpan w:val="2"/>
            <w:shd w:val="clear" w:color="auto" w:fill="auto"/>
          </w:tcPr>
          <w:p w14:paraId="088FB301" w14:textId="622CB5CF" w:rsidR="000D089E" w:rsidRPr="00316E16" w:rsidRDefault="000D089E" w:rsidP="000D089E">
            <w:pPr>
              <w:pStyle w:val="AODocTxt"/>
              <w:numPr>
                <w:ilvl w:val="0"/>
                <w:numId w:val="0"/>
              </w:numPr>
              <w:jc w:val="center"/>
              <w:rPr>
                <w:b/>
                <w:bCs/>
              </w:rPr>
            </w:pPr>
            <w:r w:rsidRPr="00316E16">
              <w:rPr>
                <w:b/>
                <w:bCs/>
              </w:rPr>
              <w:t>[</w:t>
            </w:r>
            <w:r w:rsidRPr="00316E16">
              <w:rPr>
                <w:b/>
                <w:bCs/>
                <w:highlight w:val="yellow"/>
              </w:rPr>
              <w:t xml:space="preserve">N.B.: Note Purchasers 2025 to be </w:t>
            </w:r>
            <w:r w:rsidR="00420248" w:rsidRPr="00420248">
              <w:rPr>
                <w:b/>
                <w:bCs/>
                <w:highlight w:val="yellow"/>
              </w:rPr>
              <w:t>confirmed</w:t>
            </w:r>
            <w:r>
              <w:rPr>
                <w:b/>
                <w:bCs/>
              </w:rPr>
              <w:t>]</w:t>
            </w:r>
          </w:p>
        </w:tc>
      </w:tr>
      <w:tr w:rsidR="000D089E" w:rsidRPr="00943073" w14:paraId="36FFF48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0AC1754" w14:textId="65EB3CB3" w:rsidR="000D089E" w:rsidRPr="00B4039A" w:rsidRDefault="006A0523" w:rsidP="000D089E">
            <w:pPr>
              <w:pStyle w:val="AODocTxt"/>
              <w:rPr>
                <w:lang w:val="es-ES"/>
              </w:rPr>
            </w:pPr>
            <w:r>
              <w:rPr>
                <w:lang w:val="es-ES"/>
              </w:rPr>
              <w:t>En adelante, l</w:t>
            </w:r>
            <w:r w:rsidR="000D089E">
              <w:rPr>
                <w:lang w:val="es-ES"/>
              </w:rPr>
              <w:t>as entidades numeradas en los apartados [([</w:t>
            </w:r>
            <w:r w:rsidR="000D089E">
              <w:rPr>
                <w:lang w:val="es-ES"/>
              </w:rPr>
              <w:sym w:font="Wingdings" w:char="F06C"/>
            </w:r>
            <w:r w:rsidR="000D089E">
              <w:rPr>
                <w:lang w:val="es-ES"/>
              </w:rPr>
              <w:t>]) a ([</w:t>
            </w:r>
            <w:r w:rsidR="000D089E">
              <w:rPr>
                <w:lang w:val="es-ES"/>
              </w:rPr>
              <w:sym w:font="Wingdings" w:char="F06C"/>
            </w:r>
            <w:r w:rsidR="000D089E">
              <w:rPr>
                <w:lang w:val="es-ES"/>
              </w:rPr>
              <w:t>])] anteriores (ambos inclusive), en su condición de co</w:t>
            </w:r>
            <w:r w:rsidR="000D089E" w:rsidRPr="00EE4390">
              <w:rPr>
                <w:lang w:val="es-ES"/>
              </w:rPr>
              <w:t>mpradoras (</w:t>
            </w:r>
            <w:r w:rsidR="000D089E" w:rsidRPr="00EE4390">
              <w:rPr>
                <w:i/>
                <w:lang w:val="es-ES"/>
              </w:rPr>
              <w:t>Note</w:t>
            </w:r>
            <w:r w:rsidR="000D089E" w:rsidRPr="00EE4390">
              <w:rPr>
                <w:lang w:val="es-ES"/>
              </w:rPr>
              <w:t xml:space="preserve"> </w:t>
            </w:r>
            <w:proofErr w:type="spellStart"/>
            <w:r w:rsidR="000D089E" w:rsidRPr="00EE4390">
              <w:rPr>
                <w:i/>
                <w:lang w:val="es-ES" w:eastAsia="en-GB" w:bidi="en-GB"/>
              </w:rPr>
              <w:t>Purchasers</w:t>
            </w:r>
            <w:proofErr w:type="spellEnd"/>
            <w:r w:rsidR="000D089E" w:rsidRPr="00EE4390">
              <w:rPr>
                <w:lang w:val="es-ES"/>
              </w:rPr>
              <w:t xml:space="preserve">) </w:t>
            </w:r>
            <w:r w:rsidR="000D089E" w:rsidRPr="00254A6F">
              <w:rPr>
                <w:lang w:val="es-ES"/>
              </w:rPr>
              <w:t>bajo</w:t>
            </w:r>
            <w:r w:rsidR="000D089E" w:rsidRPr="00EE4390">
              <w:rPr>
                <w:lang w:val="es-ES"/>
              </w:rPr>
              <w:t xml:space="preserve"> el Contrato de Compra de Instrumentos de Deuda</w:t>
            </w:r>
            <w:r w:rsidR="000D089E" w:rsidRPr="00EE4390">
              <w:rPr>
                <w:i/>
                <w:lang w:val="es-ES"/>
              </w:rPr>
              <w:t xml:space="preserve"> </w:t>
            </w:r>
            <w:r w:rsidR="000D089E" w:rsidRPr="00EE4390">
              <w:rPr>
                <w:lang w:val="es-ES"/>
              </w:rPr>
              <w:t xml:space="preserve">PP </w:t>
            </w:r>
            <w:r w:rsidR="000D089E">
              <w:rPr>
                <w:lang w:val="es-ES"/>
              </w:rPr>
              <w:t>2025</w:t>
            </w:r>
            <w:r w:rsidR="000D089E" w:rsidRPr="00EE4390">
              <w:rPr>
                <w:lang w:val="es-ES"/>
              </w:rPr>
              <w:t xml:space="preserve"> (</w:t>
            </w:r>
            <w:r w:rsidR="000D089E">
              <w:rPr>
                <w:lang w:val="es-ES"/>
              </w:rPr>
              <w:t xml:space="preserve">2025 </w:t>
            </w:r>
            <w:r w:rsidR="000D089E" w:rsidRPr="00EE4390">
              <w:rPr>
                <w:i/>
                <w:lang w:val="es-ES"/>
              </w:rPr>
              <w:t xml:space="preserve">PP Debt Note </w:t>
            </w:r>
            <w:proofErr w:type="spellStart"/>
            <w:r w:rsidR="000D089E" w:rsidRPr="00EE4390">
              <w:rPr>
                <w:i/>
                <w:lang w:val="es-ES"/>
              </w:rPr>
              <w:t>Purchase</w:t>
            </w:r>
            <w:proofErr w:type="spellEnd"/>
            <w:r w:rsidR="000D089E" w:rsidRPr="00EE4390">
              <w:rPr>
                <w:i/>
                <w:lang w:val="es-ES"/>
              </w:rPr>
              <w:t xml:space="preserve"> </w:t>
            </w:r>
            <w:proofErr w:type="spellStart"/>
            <w:r w:rsidR="000D089E" w:rsidRPr="00EE4390">
              <w:rPr>
                <w:i/>
                <w:lang w:val="es-ES"/>
              </w:rPr>
              <w:t>Agreement</w:t>
            </w:r>
            <w:proofErr w:type="spellEnd"/>
            <w:r w:rsidR="000D089E">
              <w:rPr>
                <w:lang w:val="es-ES"/>
              </w:rPr>
              <w:t xml:space="preserve">) </w:t>
            </w:r>
            <w:r w:rsidR="000D089E" w:rsidRPr="00EE4390">
              <w:rPr>
                <w:lang w:val="es-ES"/>
              </w:rPr>
              <w:t xml:space="preserve">(tal y como este término se define a continuación), junto con cualquiera de sus cesionarios o aquellas entidades que en cada momento ostenten tal condición bajo el mismo, serán referidas conjuntamente como las </w:t>
            </w:r>
            <w:r w:rsidR="000D089E" w:rsidRPr="00EE4390">
              <w:rPr>
                <w:b/>
                <w:lang w:val="es-ES"/>
              </w:rPr>
              <w:t>Nuevas</w:t>
            </w:r>
            <w:r w:rsidR="000D089E" w:rsidRPr="00EE4390">
              <w:rPr>
                <w:lang w:val="es-ES"/>
              </w:rPr>
              <w:t xml:space="preserve"> </w:t>
            </w:r>
            <w:r w:rsidR="000D089E" w:rsidRPr="00EE4390">
              <w:rPr>
                <w:b/>
                <w:lang w:val="es-ES"/>
              </w:rPr>
              <w:t>Compradoras de Bonos</w:t>
            </w:r>
            <w:r w:rsidR="000D089E">
              <w:rPr>
                <w:b/>
                <w:lang w:val="es-ES"/>
              </w:rPr>
              <w:t xml:space="preserve"> 2025</w:t>
            </w:r>
            <w:r w:rsidR="000D089E" w:rsidRPr="00EE4390">
              <w:rPr>
                <w:lang w:val="es-ES"/>
              </w:rPr>
              <w:t xml:space="preserve">, y cada una de ellas, una </w:t>
            </w:r>
            <w:r w:rsidR="000D089E" w:rsidRPr="00EE4390">
              <w:rPr>
                <w:b/>
                <w:lang w:val="es-ES"/>
              </w:rPr>
              <w:t>Nueva</w:t>
            </w:r>
            <w:r w:rsidR="000D089E" w:rsidRPr="00EE4390">
              <w:rPr>
                <w:lang w:val="es-ES"/>
              </w:rPr>
              <w:t xml:space="preserve"> </w:t>
            </w:r>
            <w:r w:rsidR="000D089E" w:rsidRPr="00EE4390">
              <w:rPr>
                <w:b/>
                <w:lang w:val="es-ES"/>
              </w:rPr>
              <w:t>Compradora de Bonos</w:t>
            </w:r>
            <w:r w:rsidR="000D089E">
              <w:rPr>
                <w:b/>
                <w:lang w:val="es-ES"/>
              </w:rPr>
              <w:t xml:space="preserve"> 2025</w:t>
            </w:r>
            <w:r w:rsidR="000D089E" w:rsidRPr="00EE4390">
              <w:rPr>
                <w:lang w:val="es-ES"/>
              </w:rPr>
              <w:t>.</w:t>
            </w:r>
          </w:p>
        </w:tc>
        <w:tc>
          <w:tcPr>
            <w:tcW w:w="2500" w:type="pct"/>
            <w:shd w:val="clear" w:color="auto" w:fill="auto"/>
          </w:tcPr>
          <w:p w14:paraId="2507CAE8" w14:textId="6E57B180" w:rsidR="000D089E" w:rsidRPr="00B4039A" w:rsidRDefault="006A0523" w:rsidP="000D089E">
            <w:pPr>
              <w:pStyle w:val="AODocTxt"/>
            </w:pPr>
            <w:r>
              <w:t xml:space="preserve">Hereinafter, </w:t>
            </w:r>
            <w:r w:rsidR="000D089E">
              <w:t xml:space="preserve">the </w:t>
            </w:r>
            <w:r w:rsidR="000D089E" w:rsidRPr="00EE4390">
              <w:t xml:space="preserve">entities listed in sections </w:t>
            </w:r>
            <w:r w:rsidR="000D089E" w:rsidRPr="00316E16">
              <w:t>[([</w:t>
            </w:r>
            <w:r w:rsidR="000D089E">
              <w:rPr>
                <w:lang w:val="es-ES"/>
              </w:rPr>
              <w:sym w:font="Wingdings" w:char="F06C"/>
            </w:r>
            <w:r w:rsidR="000D089E" w:rsidRPr="00316E16">
              <w:t>]) a ([</w:t>
            </w:r>
            <w:r w:rsidR="000D089E">
              <w:rPr>
                <w:lang w:val="es-ES"/>
              </w:rPr>
              <w:sym w:font="Wingdings" w:char="F06C"/>
            </w:r>
            <w:r w:rsidR="000D089E" w:rsidRPr="00316E16">
              <w:t xml:space="preserve">])] </w:t>
            </w:r>
            <w:r w:rsidR="000D089E" w:rsidRPr="00EE4390">
              <w:t xml:space="preserve">above (both included) as the notes purchasers </w:t>
            </w:r>
            <w:r w:rsidR="000D089E" w:rsidRPr="00254A6F">
              <w:t>under</w:t>
            </w:r>
            <w:r w:rsidR="000D089E" w:rsidRPr="00EE4390">
              <w:t xml:space="preserve"> the </w:t>
            </w:r>
            <w:r w:rsidR="000D089E" w:rsidRPr="00EE4390">
              <w:rPr>
                <w:lang w:eastAsia="en-GB" w:bidi="en-GB"/>
              </w:rPr>
              <w:t>PP Debt Note Purchase Agreement 202</w:t>
            </w:r>
            <w:r w:rsidR="000D089E">
              <w:rPr>
                <w:lang w:eastAsia="en-GB" w:bidi="en-GB"/>
              </w:rPr>
              <w:t>5</w:t>
            </w:r>
            <w:r w:rsidR="000D089E" w:rsidRPr="00EE4390">
              <w:t xml:space="preserve"> (as this term is defined below), together with any of its assignees and transferees or entities holding such position from time to time thereunder, will be jointly referred to as the </w:t>
            </w:r>
            <w:r w:rsidR="000D089E" w:rsidRPr="00EE4390">
              <w:rPr>
                <w:b/>
              </w:rPr>
              <w:t>New</w:t>
            </w:r>
            <w:r w:rsidR="000D089E" w:rsidRPr="00EE4390">
              <w:t xml:space="preserve"> </w:t>
            </w:r>
            <w:r w:rsidR="000D089E" w:rsidRPr="00EE4390">
              <w:rPr>
                <w:b/>
              </w:rPr>
              <w:t>Note Purchasers</w:t>
            </w:r>
            <w:r w:rsidR="000D089E">
              <w:rPr>
                <w:b/>
              </w:rPr>
              <w:t xml:space="preserve"> 2025</w:t>
            </w:r>
            <w:r w:rsidR="000D089E" w:rsidRPr="00EE4390">
              <w:t xml:space="preserve">, and each of them as an </w:t>
            </w:r>
            <w:r w:rsidR="000D089E" w:rsidRPr="00EE4390">
              <w:rPr>
                <w:b/>
              </w:rPr>
              <w:t>New Note</w:t>
            </w:r>
            <w:r w:rsidR="000D089E" w:rsidRPr="00EE4390">
              <w:t xml:space="preserve"> </w:t>
            </w:r>
            <w:r w:rsidR="000D089E" w:rsidRPr="00EE4390">
              <w:rPr>
                <w:b/>
              </w:rPr>
              <w:t>Purchaser</w:t>
            </w:r>
            <w:r w:rsidR="000D089E">
              <w:rPr>
                <w:b/>
              </w:rPr>
              <w:t xml:space="preserve"> 2025</w:t>
            </w:r>
            <w:r w:rsidR="000D089E" w:rsidRPr="00EE4390">
              <w:t>.</w:t>
            </w:r>
          </w:p>
        </w:tc>
      </w:tr>
      <w:tr w:rsidR="00686DC7" w:rsidRPr="00316E16" w14:paraId="2CDA56C1" w14:textId="77777777" w:rsidTr="00686DC7">
        <w:tblPrEx>
          <w:jc w:val="left"/>
          <w:tblCellMar>
            <w:left w:w="115" w:type="dxa"/>
            <w:right w:w="115" w:type="dxa"/>
          </w:tblCellMar>
          <w:tblLook w:val="04A0" w:firstRow="1" w:lastRow="0" w:firstColumn="1" w:lastColumn="0" w:noHBand="0" w:noVBand="1"/>
        </w:tblPrEx>
        <w:tc>
          <w:tcPr>
            <w:tcW w:w="5000" w:type="pct"/>
            <w:gridSpan w:val="2"/>
            <w:shd w:val="clear" w:color="auto" w:fill="auto"/>
          </w:tcPr>
          <w:p w14:paraId="1D7BAE4C" w14:textId="1C98EF1C" w:rsidR="00686DC7" w:rsidRPr="00C247A7" w:rsidRDefault="00686DC7" w:rsidP="00686DC7">
            <w:pPr>
              <w:pStyle w:val="AODocTxt"/>
              <w:numPr>
                <w:ilvl w:val="0"/>
                <w:numId w:val="0"/>
              </w:numPr>
              <w:ind w:left="720"/>
              <w:jc w:val="center"/>
              <w:rPr>
                <w:b/>
                <w:bCs/>
              </w:rPr>
            </w:pPr>
            <w:r w:rsidRPr="00686DC7">
              <w:rPr>
                <w:b/>
                <w:bCs/>
                <w:highlight w:val="yellow"/>
              </w:rPr>
              <w:t xml:space="preserve">[N.B. To be confirmed if any other debt instrument is going to be </w:t>
            </w:r>
            <w:proofErr w:type="gramStart"/>
            <w:r w:rsidRPr="00686DC7">
              <w:rPr>
                <w:b/>
                <w:bCs/>
                <w:highlight w:val="yellow"/>
              </w:rPr>
              <w:t>entered into</w:t>
            </w:r>
            <w:proofErr w:type="gramEnd"/>
            <w:r w:rsidRPr="00686DC7">
              <w:rPr>
                <w:b/>
                <w:bCs/>
                <w:highlight w:val="yellow"/>
              </w:rPr>
              <w:t>]</w:t>
            </w:r>
          </w:p>
        </w:tc>
      </w:tr>
      <w:tr w:rsidR="000D089E" w:rsidRPr="00316E16" w14:paraId="59CFFF8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B686DB0" w14:textId="77777777" w:rsidR="000D089E" w:rsidRDefault="000D089E" w:rsidP="000D089E">
            <w:pPr>
              <w:pStyle w:val="AO1"/>
              <w:rPr>
                <w:b/>
                <w:bCs/>
              </w:rPr>
            </w:pPr>
            <w:r>
              <w:rPr>
                <w:b/>
                <w:bCs/>
              </w:rPr>
              <w:t xml:space="preserve">KROLL </w:t>
            </w:r>
            <w:r w:rsidRPr="00E153CC">
              <w:rPr>
                <w:b/>
                <w:bCs/>
              </w:rPr>
              <w:t>AGENCY SERVICES LIMITED</w:t>
            </w:r>
            <w:r>
              <w:rPr>
                <w:b/>
                <w:bCs/>
              </w:rPr>
              <w:t xml:space="preserve"> </w:t>
            </w:r>
            <w:r w:rsidRPr="00434621">
              <w:rPr>
                <w:bCs/>
              </w:rPr>
              <w:t>(</w:t>
            </w:r>
            <w:r>
              <w:rPr>
                <w:b/>
                <w:bCs/>
              </w:rPr>
              <w:t>KROLL</w:t>
            </w:r>
            <w:r w:rsidRPr="00434621">
              <w:rPr>
                <w:bCs/>
              </w:rPr>
              <w:t>)</w:t>
            </w:r>
            <w:r>
              <w:rPr>
                <w:bCs/>
              </w:rPr>
              <w:t xml:space="preserve"> (</w:t>
            </w:r>
            <w:proofErr w:type="spellStart"/>
            <w:r>
              <w:rPr>
                <w:bCs/>
              </w:rPr>
              <w:t>anteriormente</w:t>
            </w:r>
            <w:proofErr w:type="spellEnd"/>
            <w:r>
              <w:rPr>
                <w:bCs/>
              </w:rPr>
              <w:t xml:space="preserve"> </w:t>
            </w:r>
            <w:proofErr w:type="spellStart"/>
            <w:r>
              <w:rPr>
                <w:bCs/>
              </w:rPr>
              <w:t>denominada</w:t>
            </w:r>
            <w:proofErr w:type="spellEnd"/>
            <w:r>
              <w:rPr>
                <w:bCs/>
              </w:rPr>
              <w:t xml:space="preserve"> LUCID AGENCY SERVICES LIMITED)</w:t>
            </w:r>
          </w:p>
        </w:tc>
        <w:tc>
          <w:tcPr>
            <w:tcW w:w="2500" w:type="pct"/>
            <w:shd w:val="clear" w:color="auto" w:fill="auto"/>
          </w:tcPr>
          <w:p w14:paraId="3044C896" w14:textId="77777777" w:rsidR="000D089E" w:rsidRPr="00C247A7" w:rsidRDefault="000D089E" w:rsidP="000D089E">
            <w:pPr>
              <w:pStyle w:val="AODocTxt"/>
              <w:numPr>
                <w:ilvl w:val="0"/>
                <w:numId w:val="33"/>
              </w:numPr>
              <w:ind w:hanging="720"/>
              <w:rPr>
                <w:b/>
                <w:bCs/>
              </w:rPr>
            </w:pPr>
            <w:r w:rsidRPr="00C247A7">
              <w:rPr>
                <w:b/>
                <w:bCs/>
              </w:rPr>
              <w:t>KROLL</w:t>
            </w:r>
            <w:r w:rsidRPr="00195BC9">
              <w:rPr>
                <w:b/>
                <w:bCs/>
              </w:rPr>
              <w:t xml:space="preserve"> AGENCY SERVICES LIMITED </w:t>
            </w:r>
            <w:r w:rsidRPr="00943073">
              <w:t>(</w:t>
            </w:r>
            <w:r w:rsidRPr="00195BC9">
              <w:rPr>
                <w:b/>
                <w:bCs/>
              </w:rPr>
              <w:t>KROLL</w:t>
            </w:r>
            <w:r w:rsidRPr="00943073">
              <w:t>)</w:t>
            </w:r>
            <w:r w:rsidRPr="00316E16">
              <w:rPr>
                <w:b/>
                <w:bCs/>
              </w:rPr>
              <w:t xml:space="preserve"> </w:t>
            </w:r>
            <w:r w:rsidRPr="00943073">
              <w:t>(formerly known as LUCID AGENCY SERVICES LIMITED)</w:t>
            </w:r>
          </w:p>
        </w:tc>
      </w:tr>
      <w:tr w:rsidR="000D089E" w:rsidRPr="00882DBA" w14:paraId="184009F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B8BB4FE" w14:textId="77777777" w:rsidR="000D089E" w:rsidRPr="00E53971" w:rsidRDefault="000D089E" w:rsidP="000D089E">
            <w:pPr>
              <w:pStyle w:val="AODocTxt"/>
              <w:rPr>
                <w:lang w:val="es-ES"/>
              </w:rPr>
            </w:pPr>
            <w:r w:rsidRPr="00EB5C89">
              <w:rPr>
                <w:lang w:val="es-ES"/>
              </w:rPr>
              <w:t>KROLL</w:t>
            </w:r>
            <w:r w:rsidRPr="00E53971">
              <w:rPr>
                <w:lang w:val="es-ES"/>
              </w:rPr>
              <w:t xml:space="preserve"> en su condición de </w:t>
            </w:r>
            <w:r>
              <w:rPr>
                <w:lang w:val="es-ES"/>
              </w:rPr>
              <w:t>representante</w:t>
            </w:r>
            <w:r w:rsidRPr="00E53971">
              <w:rPr>
                <w:lang w:val="es-ES"/>
              </w:rPr>
              <w:t xml:space="preserve"> (</w:t>
            </w:r>
            <w:r w:rsidRPr="00434621">
              <w:rPr>
                <w:i/>
                <w:lang w:val="es-ES" w:eastAsia="en-GB" w:bidi="en-GB"/>
              </w:rPr>
              <w:t xml:space="preserve">PP </w:t>
            </w:r>
            <w:proofErr w:type="spellStart"/>
            <w:r w:rsidRPr="00434621">
              <w:rPr>
                <w:i/>
                <w:lang w:val="es-ES" w:eastAsia="en-GB" w:bidi="en-GB"/>
              </w:rPr>
              <w:t>Creditor</w:t>
            </w:r>
            <w:proofErr w:type="spellEnd"/>
            <w:r w:rsidRPr="00434621">
              <w:rPr>
                <w:i/>
                <w:lang w:val="es-ES" w:eastAsia="en-GB" w:bidi="en-GB"/>
              </w:rPr>
              <w:t xml:space="preserve"> </w:t>
            </w:r>
            <w:proofErr w:type="spellStart"/>
            <w:r w:rsidRPr="00434621">
              <w:rPr>
                <w:i/>
                <w:lang w:val="es-ES" w:eastAsia="en-GB" w:bidi="en-GB"/>
              </w:rPr>
              <w:t>Secured</w:t>
            </w:r>
            <w:proofErr w:type="spellEnd"/>
            <w:r w:rsidRPr="00434621">
              <w:rPr>
                <w:i/>
                <w:lang w:val="es-ES" w:eastAsia="en-GB" w:bidi="en-GB"/>
              </w:rPr>
              <w:t xml:space="preserve"> </w:t>
            </w:r>
            <w:proofErr w:type="spellStart"/>
            <w:r w:rsidRPr="00434621">
              <w:rPr>
                <w:i/>
                <w:lang w:val="es-ES" w:eastAsia="en-GB" w:bidi="en-GB"/>
              </w:rPr>
              <w:t>Creditor</w:t>
            </w:r>
            <w:proofErr w:type="spellEnd"/>
            <w:r w:rsidRPr="00434621">
              <w:rPr>
                <w:i/>
                <w:lang w:val="es-ES" w:eastAsia="en-GB" w:bidi="en-GB"/>
              </w:rPr>
              <w:t xml:space="preserve"> Representative</w:t>
            </w:r>
            <w:r w:rsidRPr="00E53971">
              <w:rPr>
                <w:lang w:val="es-ES"/>
              </w:rPr>
              <w:t xml:space="preserve">) bajo el </w:t>
            </w:r>
            <w:r w:rsidRPr="0068181D">
              <w:rPr>
                <w:lang w:val="es-ES"/>
              </w:rPr>
              <w:t>Contrato de Compra de Instrumentos de Deuda</w:t>
            </w:r>
            <w:r w:rsidRPr="0068181D">
              <w:rPr>
                <w:i/>
                <w:lang w:val="es-ES"/>
              </w:rPr>
              <w:t xml:space="preserve"> </w:t>
            </w:r>
            <w:r w:rsidRPr="0068181D">
              <w:rPr>
                <w:lang w:val="es-ES"/>
              </w:rPr>
              <w:t>PP</w:t>
            </w:r>
            <w:r>
              <w:rPr>
                <w:lang w:val="es-ES"/>
              </w:rPr>
              <w:t xml:space="preserve"> </w:t>
            </w:r>
            <w:r w:rsidRPr="0024367D">
              <w:rPr>
                <w:lang w:val="es-ES"/>
              </w:rPr>
              <w:t>(</w:t>
            </w:r>
            <w:r w:rsidRPr="0068181D">
              <w:rPr>
                <w:i/>
                <w:lang w:val="es-ES" w:eastAsia="en-GB" w:bidi="en-GB"/>
              </w:rPr>
              <w:t xml:space="preserve">PP Debt Note </w:t>
            </w:r>
            <w:proofErr w:type="spellStart"/>
            <w:r w:rsidRPr="0068181D">
              <w:rPr>
                <w:i/>
                <w:lang w:val="es-ES" w:eastAsia="en-GB" w:bidi="en-GB"/>
              </w:rPr>
              <w:t>Purchase</w:t>
            </w:r>
            <w:proofErr w:type="spellEnd"/>
            <w:r w:rsidRPr="0068181D">
              <w:rPr>
                <w:i/>
                <w:lang w:val="es-ES" w:eastAsia="en-GB" w:bidi="en-GB"/>
              </w:rPr>
              <w:t xml:space="preserve"> </w:t>
            </w:r>
            <w:proofErr w:type="spellStart"/>
            <w:r w:rsidRPr="0068181D">
              <w:rPr>
                <w:i/>
                <w:lang w:val="es-ES" w:eastAsia="en-GB" w:bidi="en-GB"/>
              </w:rPr>
              <w:t>Agreement</w:t>
            </w:r>
            <w:proofErr w:type="spellEnd"/>
            <w:r w:rsidRPr="0024367D">
              <w:rPr>
                <w:lang w:val="es-ES"/>
              </w:rPr>
              <w:t>)</w:t>
            </w:r>
            <w:r>
              <w:rPr>
                <w:lang w:val="es-ES"/>
              </w:rPr>
              <w:t xml:space="preserve"> </w:t>
            </w:r>
            <w:r w:rsidRPr="00E53971">
              <w:rPr>
                <w:lang w:val="es-ES"/>
              </w:rPr>
              <w:t>o cualquier entidad que ostente en cada momento tal condición</w:t>
            </w:r>
            <w:r>
              <w:rPr>
                <w:lang w:val="es-ES"/>
              </w:rPr>
              <w:t xml:space="preserve"> de conformidad con lo dispuesto en la Cláusula 11 del Contrato entre Acreedores </w:t>
            </w:r>
            <w:r w:rsidRPr="00E53971">
              <w:rPr>
                <w:lang w:val="es-ES"/>
              </w:rPr>
              <w:t xml:space="preserve">(tal y como este término se define a continuación), será referida como el </w:t>
            </w:r>
            <w:r>
              <w:rPr>
                <w:b/>
                <w:lang w:val="es-ES"/>
              </w:rPr>
              <w:t xml:space="preserve">Representante del </w:t>
            </w:r>
            <w:r w:rsidRPr="00244FCC">
              <w:rPr>
                <w:b/>
                <w:lang w:val="es-ES"/>
              </w:rPr>
              <w:t>Contrato de Compra de Instrumentos de Deuda</w:t>
            </w:r>
            <w:r w:rsidRPr="00244FCC">
              <w:rPr>
                <w:b/>
                <w:i/>
                <w:lang w:val="es-ES"/>
              </w:rPr>
              <w:t xml:space="preserve"> </w:t>
            </w:r>
            <w:r w:rsidRPr="00244FCC">
              <w:rPr>
                <w:b/>
                <w:lang w:val="es-ES"/>
              </w:rPr>
              <w:t>PP</w:t>
            </w:r>
            <w:r w:rsidRPr="00E53971">
              <w:rPr>
                <w:lang w:val="es-ES"/>
              </w:rPr>
              <w:t>.</w:t>
            </w:r>
          </w:p>
        </w:tc>
        <w:tc>
          <w:tcPr>
            <w:tcW w:w="2500" w:type="pct"/>
            <w:shd w:val="clear" w:color="auto" w:fill="auto"/>
          </w:tcPr>
          <w:p w14:paraId="59AB35E9" w14:textId="77777777" w:rsidR="000D089E" w:rsidRPr="00901F23" w:rsidRDefault="000D089E" w:rsidP="000D089E">
            <w:pPr>
              <w:pStyle w:val="AODocTxt"/>
            </w:pPr>
            <w:r w:rsidRPr="00EB5C89">
              <w:t xml:space="preserve">KROLL </w:t>
            </w:r>
            <w:r>
              <w:t xml:space="preserve">as </w:t>
            </w:r>
            <w:r w:rsidRPr="00244FCC">
              <w:rPr>
                <w:lang w:eastAsia="en-GB" w:bidi="en-GB"/>
              </w:rPr>
              <w:t>PP secured creditor representative under the PP Note Purchase Agreement</w:t>
            </w:r>
            <w:r w:rsidRPr="00901F23">
              <w:t>, or any other entity holding such position from time to time</w:t>
            </w:r>
            <w:r>
              <w:t xml:space="preserve"> according to Clause 11 of the STID (as this term is defined below)</w:t>
            </w:r>
            <w:r w:rsidRPr="00901F23">
              <w:t xml:space="preserve">, shall be referred to as the </w:t>
            </w:r>
            <w:r w:rsidRPr="00244FCC">
              <w:rPr>
                <w:b/>
                <w:lang w:eastAsia="en-GB" w:bidi="en-GB"/>
              </w:rPr>
              <w:t>PP Creditor Secured Creditor Representative</w:t>
            </w:r>
            <w:r w:rsidRPr="00901F23">
              <w:t>.</w:t>
            </w:r>
          </w:p>
        </w:tc>
      </w:tr>
      <w:tr w:rsidR="000D089E" w:rsidRPr="00882DBA" w14:paraId="6ECD034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BCBAFF5" w14:textId="77777777" w:rsidR="000D089E" w:rsidRPr="00434621" w:rsidRDefault="000D089E" w:rsidP="000D089E">
            <w:pPr>
              <w:pStyle w:val="AODocTxt"/>
              <w:rPr>
                <w:lang w:val="es-ES"/>
              </w:rPr>
            </w:pPr>
            <w:r>
              <w:rPr>
                <w:lang w:val="es-ES"/>
              </w:rPr>
              <w:t xml:space="preserve">Asimismo, </w:t>
            </w:r>
            <w:r w:rsidRPr="00EB5C89">
              <w:rPr>
                <w:lang w:val="es-ES"/>
              </w:rPr>
              <w:t>KROLL</w:t>
            </w:r>
            <w:r w:rsidRPr="00E53971">
              <w:rPr>
                <w:lang w:val="es-ES"/>
              </w:rPr>
              <w:t xml:space="preserve"> en su condición de agente </w:t>
            </w:r>
            <w:r>
              <w:rPr>
                <w:lang w:val="es-ES"/>
              </w:rPr>
              <w:t xml:space="preserve">de la financiación bancaria e institucional bajo el </w:t>
            </w:r>
            <w:r w:rsidRPr="000A0FC9">
              <w:rPr>
                <w:lang w:val="es-ES"/>
              </w:rPr>
              <w:t>Contrato de Financiación Bancario e Institucional</w:t>
            </w:r>
            <w:r>
              <w:rPr>
                <w:lang w:val="es-ES"/>
              </w:rPr>
              <w:t xml:space="preserve"> </w:t>
            </w:r>
            <w:r w:rsidRPr="0024367D">
              <w:rPr>
                <w:lang w:val="es-ES"/>
              </w:rPr>
              <w:t>(</w:t>
            </w:r>
            <w:proofErr w:type="spellStart"/>
            <w:r w:rsidRPr="001624F5">
              <w:rPr>
                <w:i/>
                <w:lang w:val="es-ES"/>
              </w:rPr>
              <w:t>Institutional</w:t>
            </w:r>
            <w:proofErr w:type="spellEnd"/>
            <w:r w:rsidRPr="001624F5">
              <w:rPr>
                <w:i/>
                <w:lang w:val="es-ES"/>
              </w:rPr>
              <w:t xml:space="preserve"> and Bank Facilities</w:t>
            </w:r>
            <w:r>
              <w:rPr>
                <w:i/>
                <w:lang w:val="es-ES"/>
              </w:rPr>
              <w:t xml:space="preserve"> </w:t>
            </w:r>
            <w:proofErr w:type="spellStart"/>
            <w:r>
              <w:rPr>
                <w:i/>
                <w:lang w:val="es-ES"/>
              </w:rPr>
              <w:t>Agreement</w:t>
            </w:r>
            <w:proofErr w:type="spellEnd"/>
            <w:r w:rsidRPr="0024367D">
              <w:rPr>
                <w:lang w:val="es-ES"/>
              </w:rPr>
              <w:t>)</w:t>
            </w:r>
            <w:r w:rsidRPr="00E53971">
              <w:rPr>
                <w:lang w:val="es-ES"/>
              </w:rPr>
              <w:t xml:space="preserve">, o cualquier </w:t>
            </w:r>
            <w:r>
              <w:rPr>
                <w:lang w:val="es-ES"/>
              </w:rPr>
              <w:t xml:space="preserve">sucesor, cesionario o </w:t>
            </w:r>
            <w:r w:rsidRPr="00E53971">
              <w:rPr>
                <w:lang w:val="es-ES"/>
              </w:rPr>
              <w:t xml:space="preserve">entidad que ostente </w:t>
            </w:r>
            <w:r w:rsidRPr="00E53971">
              <w:rPr>
                <w:lang w:val="es-ES"/>
              </w:rPr>
              <w:lastRenderedPageBreak/>
              <w:t xml:space="preserve">en cada momento tal condición, será referida como el </w:t>
            </w:r>
            <w:r w:rsidRPr="00E53971">
              <w:rPr>
                <w:b/>
                <w:lang w:val="es-ES"/>
              </w:rPr>
              <w:t>Agente</w:t>
            </w:r>
            <w:r>
              <w:rPr>
                <w:b/>
                <w:lang w:val="es-ES"/>
              </w:rPr>
              <w:t xml:space="preserve"> IBFA</w:t>
            </w:r>
            <w:r w:rsidRPr="00E53971">
              <w:rPr>
                <w:lang w:val="es-ES"/>
              </w:rPr>
              <w:t>.</w:t>
            </w:r>
          </w:p>
        </w:tc>
        <w:tc>
          <w:tcPr>
            <w:tcW w:w="2500" w:type="pct"/>
            <w:shd w:val="clear" w:color="auto" w:fill="auto"/>
          </w:tcPr>
          <w:p w14:paraId="002A38AD" w14:textId="77777777" w:rsidR="000D089E" w:rsidRPr="00882DBA" w:rsidRDefault="000D089E" w:rsidP="000D089E">
            <w:pPr>
              <w:pStyle w:val="AODocTxt"/>
            </w:pPr>
            <w:r>
              <w:lastRenderedPageBreak/>
              <w:t xml:space="preserve">Likewise, </w:t>
            </w:r>
            <w:r w:rsidRPr="00EB5C89">
              <w:t>KROLL</w:t>
            </w:r>
            <w:r w:rsidRPr="00901F23">
              <w:t xml:space="preserve"> as </w:t>
            </w:r>
            <w:r>
              <w:t xml:space="preserve">an institutional and bank facilities </w:t>
            </w:r>
            <w:r w:rsidRPr="00901F23">
              <w:t>agent</w:t>
            </w:r>
            <w:r w:rsidRPr="00882DBA">
              <w:rPr>
                <w:lang w:eastAsia="en-GB" w:bidi="en-GB"/>
              </w:rPr>
              <w:t xml:space="preserve"> under the Institutional and Bank Facilities Agreement</w:t>
            </w:r>
            <w:r w:rsidRPr="00901F23">
              <w:t xml:space="preserve">, or any </w:t>
            </w:r>
            <w:r w:rsidRPr="00642736">
              <w:t>successor, assignee or entity</w:t>
            </w:r>
            <w:r w:rsidRPr="00901F23">
              <w:t xml:space="preserve"> holding such position from time to time shall be referred to as the </w:t>
            </w:r>
            <w:r>
              <w:rPr>
                <w:b/>
              </w:rPr>
              <w:t>IBFA</w:t>
            </w:r>
            <w:r w:rsidRPr="00847DF9">
              <w:rPr>
                <w:b/>
              </w:rPr>
              <w:t xml:space="preserve"> Agent</w:t>
            </w:r>
            <w:r w:rsidRPr="00901F23">
              <w:t>.</w:t>
            </w:r>
          </w:p>
        </w:tc>
      </w:tr>
      <w:tr w:rsidR="000D089E" w:rsidRPr="00882DBA" w14:paraId="164591F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A0306F2" w14:textId="77777777" w:rsidR="000D089E" w:rsidRPr="00434621" w:rsidRDefault="000D089E" w:rsidP="000D089E">
            <w:pPr>
              <w:pStyle w:val="AODocTxt"/>
              <w:rPr>
                <w:lang w:val="es-ES"/>
              </w:rPr>
            </w:pPr>
            <w:r>
              <w:rPr>
                <w:lang w:val="es-ES"/>
              </w:rPr>
              <w:t xml:space="preserve">Asimismo, </w:t>
            </w:r>
            <w:r w:rsidRPr="00EB5C89">
              <w:rPr>
                <w:lang w:val="es-ES"/>
              </w:rPr>
              <w:t>KROLL</w:t>
            </w:r>
            <w:r w:rsidRPr="00E53971">
              <w:rPr>
                <w:lang w:val="es-ES"/>
              </w:rPr>
              <w:t xml:space="preserve"> en su condición de agente </w:t>
            </w:r>
            <w:r>
              <w:rPr>
                <w:lang w:val="es-ES"/>
              </w:rPr>
              <w:t xml:space="preserve">bajo el </w:t>
            </w:r>
            <w:r w:rsidRPr="00A502B6">
              <w:rPr>
                <w:lang w:val="es-ES"/>
              </w:rPr>
              <w:t>Contrato de Financiación Institucional</w:t>
            </w:r>
            <w:r w:rsidRPr="0024367D">
              <w:rPr>
                <w:lang w:val="es-ES"/>
              </w:rPr>
              <w:t xml:space="preserve"> (</w:t>
            </w:r>
            <w:proofErr w:type="spellStart"/>
            <w:r w:rsidRPr="001624F5">
              <w:rPr>
                <w:i/>
                <w:lang w:val="es-ES"/>
              </w:rPr>
              <w:t>Institutional</w:t>
            </w:r>
            <w:proofErr w:type="spellEnd"/>
            <w:r w:rsidRPr="001624F5">
              <w:rPr>
                <w:i/>
                <w:lang w:val="es-ES"/>
              </w:rPr>
              <w:t xml:space="preserve"> </w:t>
            </w:r>
            <w:proofErr w:type="spellStart"/>
            <w:r>
              <w:rPr>
                <w:i/>
                <w:lang w:val="es-ES"/>
              </w:rPr>
              <w:t>Facility</w:t>
            </w:r>
            <w:proofErr w:type="spellEnd"/>
            <w:r>
              <w:rPr>
                <w:i/>
                <w:lang w:val="es-ES"/>
              </w:rPr>
              <w:t xml:space="preserve"> </w:t>
            </w:r>
            <w:proofErr w:type="spellStart"/>
            <w:r>
              <w:rPr>
                <w:i/>
                <w:lang w:val="es-ES"/>
              </w:rPr>
              <w:t>Agreement</w:t>
            </w:r>
            <w:proofErr w:type="spellEnd"/>
            <w:r w:rsidRPr="0024367D">
              <w:rPr>
                <w:lang w:val="es-ES"/>
              </w:rPr>
              <w:t>)</w:t>
            </w:r>
            <w:r w:rsidRPr="00E53971">
              <w:rPr>
                <w:lang w:val="es-ES"/>
              </w:rPr>
              <w:t xml:space="preserve">, o cualquier </w:t>
            </w:r>
            <w:r>
              <w:rPr>
                <w:lang w:val="es-ES"/>
              </w:rPr>
              <w:t xml:space="preserve">sucesor, cesionario o </w:t>
            </w:r>
            <w:r w:rsidRPr="00E53971">
              <w:rPr>
                <w:lang w:val="es-ES"/>
              </w:rPr>
              <w:t xml:space="preserve">entidad que ostente en cada momento tal condición, será referida como el </w:t>
            </w:r>
            <w:r w:rsidRPr="00E53971">
              <w:rPr>
                <w:b/>
                <w:lang w:val="es-ES"/>
              </w:rPr>
              <w:t>Agente</w:t>
            </w:r>
            <w:r>
              <w:rPr>
                <w:b/>
                <w:lang w:val="es-ES"/>
              </w:rPr>
              <w:t xml:space="preserve"> IFA</w:t>
            </w:r>
            <w:r w:rsidRPr="00E53971">
              <w:rPr>
                <w:lang w:val="es-ES"/>
              </w:rPr>
              <w:t>.</w:t>
            </w:r>
          </w:p>
        </w:tc>
        <w:tc>
          <w:tcPr>
            <w:tcW w:w="2500" w:type="pct"/>
            <w:shd w:val="clear" w:color="auto" w:fill="auto"/>
          </w:tcPr>
          <w:p w14:paraId="712E3F76" w14:textId="77777777" w:rsidR="000D089E" w:rsidRPr="00882DBA" w:rsidRDefault="000D089E" w:rsidP="000D089E">
            <w:pPr>
              <w:pStyle w:val="AODocTxt"/>
            </w:pPr>
            <w:r>
              <w:t xml:space="preserve">Likewise, </w:t>
            </w:r>
            <w:r w:rsidRPr="00EB5C89">
              <w:t>KROLL</w:t>
            </w:r>
            <w:r w:rsidRPr="00901F23">
              <w:t xml:space="preserve"> as </w:t>
            </w:r>
            <w:r>
              <w:t xml:space="preserve">an </w:t>
            </w:r>
            <w:r w:rsidRPr="00901F23">
              <w:t>agent</w:t>
            </w:r>
            <w:r w:rsidRPr="00882DBA">
              <w:rPr>
                <w:lang w:eastAsia="en-GB" w:bidi="en-GB"/>
              </w:rPr>
              <w:t xml:space="preserve"> under the Institutional </w:t>
            </w:r>
            <w:r>
              <w:rPr>
                <w:lang w:eastAsia="en-GB" w:bidi="en-GB"/>
              </w:rPr>
              <w:t>Facility</w:t>
            </w:r>
            <w:r w:rsidRPr="00882DBA">
              <w:rPr>
                <w:lang w:eastAsia="en-GB" w:bidi="en-GB"/>
              </w:rPr>
              <w:t xml:space="preserve"> Agreement</w:t>
            </w:r>
            <w:r w:rsidRPr="00901F23">
              <w:t xml:space="preserve">, or any </w:t>
            </w:r>
            <w:r w:rsidRPr="00642736">
              <w:t>successor, assignee or entity</w:t>
            </w:r>
            <w:r w:rsidRPr="00901F23">
              <w:t xml:space="preserve"> holding such position from time to t</w:t>
            </w:r>
            <w:r>
              <w:t xml:space="preserve">ime shall be referred to as the </w:t>
            </w:r>
            <w:r>
              <w:rPr>
                <w:b/>
              </w:rPr>
              <w:t>IFA</w:t>
            </w:r>
            <w:r w:rsidRPr="00847DF9">
              <w:rPr>
                <w:b/>
              </w:rPr>
              <w:t xml:space="preserve"> Agent</w:t>
            </w:r>
            <w:r w:rsidRPr="00901F23">
              <w:t>.</w:t>
            </w:r>
          </w:p>
        </w:tc>
      </w:tr>
      <w:tr w:rsidR="000D089E" w:rsidRPr="00882DBA" w14:paraId="35BDA98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5FEAE7E" w14:textId="77777777" w:rsidR="000D089E" w:rsidRPr="00516FDD" w:rsidRDefault="000D089E" w:rsidP="000D089E">
            <w:pPr>
              <w:pStyle w:val="AODocTxt"/>
              <w:rPr>
                <w:lang w:val="es-ES"/>
              </w:rPr>
            </w:pPr>
            <w:r>
              <w:rPr>
                <w:lang w:val="es-ES"/>
              </w:rPr>
              <w:t xml:space="preserve">Asimismo, </w:t>
            </w:r>
            <w:r w:rsidRPr="00EB5C89">
              <w:rPr>
                <w:lang w:val="es-ES"/>
              </w:rPr>
              <w:t>KROLL</w:t>
            </w:r>
            <w:r>
              <w:rPr>
                <w:lang w:val="es-ES"/>
              </w:rPr>
              <w:t xml:space="preserve"> </w:t>
            </w:r>
            <w:r w:rsidRPr="00E53971">
              <w:rPr>
                <w:lang w:val="es-ES"/>
              </w:rPr>
              <w:t>en su condición de agente</w:t>
            </w:r>
            <w:r>
              <w:rPr>
                <w:lang w:val="es-ES"/>
              </w:rPr>
              <w:t xml:space="preserve"> de pagos original y agente de registro</w:t>
            </w:r>
            <w:r w:rsidRPr="00E53971">
              <w:rPr>
                <w:lang w:val="es-ES"/>
              </w:rPr>
              <w:t xml:space="preserve"> </w:t>
            </w:r>
            <w:r>
              <w:rPr>
                <w:lang w:val="es-ES"/>
              </w:rPr>
              <w:t xml:space="preserve">bajo el </w:t>
            </w:r>
            <w:r w:rsidRPr="0068181D">
              <w:rPr>
                <w:lang w:val="es-ES"/>
              </w:rPr>
              <w:t>Contrato de Compra de Instrumentos de Deuda</w:t>
            </w:r>
            <w:r w:rsidRPr="0068181D">
              <w:rPr>
                <w:i/>
                <w:lang w:val="es-ES"/>
              </w:rPr>
              <w:t xml:space="preserve"> </w:t>
            </w:r>
            <w:r w:rsidRPr="0080628F">
              <w:rPr>
                <w:lang w:val="es-ES"/>
              </w:rPr>
              <w:t xml:space="preserve">PP </w:t>
            </w:r>
            <w:r>
              <w:rPr>
                <w:lang w:val="es-ES"/>
              </w:rPr>
              <w:t xml:space="preserve">2021 </w:t>
            </w:r>
            <w:r w:rsidRPr="0024367D">
              <w:rPr>
                <w:lang w:val="es-ES"/>
              </w:rPr>
              <w:t>(</w:t>
            </w:r>
            <w:r w:rsidRPr="0080628F">
              <w:rPr>
                <w:i/>
                <w:lang w:val="es-ES"/>
              </w:rPr>
              <w:t xml:space="preserve">PP Debt Note </w:t>
            </w:r>
            <w:proofErr w:type="spellStart"/>
            <w:r w:rsidRPr="0080628F">
              <w:rPr>
                <w:i/>
                <w:lang w:val="es-ES"/>
              </w:rPr>
              <w:t>Purchase</w:t>
            </w:r>
            <w:proofErr w:type="spellEnd"/>
            <w:r w:rsidRPr="0080628F">
              <w:rPr>
                <w:i/>
                <w:lang w:val="es-ES"/>
              </w:rPr>
              <w:t xml:space="preserve"> </w:t>
            </w:r>
            <w:proofErr w:type="spellStart"/>
            <w:r w:rsidRPr="0080628F">
              <w:rPr>
                <w:i/>
                <w:lang w:val="es-ES"/>
              </w:rPr>
              <w:t>Agreement</w:t>
            </w:r>
            <w:proofErr w:type="spellEnd"/>
            <w:r w:rsidRPr="0024367D">
              <w:rPr>
                <w:lang w:val="es-ES"/>
              </w:rPr>
              <w:t>)</w:t>
            </w:r>
            <w:r w:rsidRPr="00E53971">
              <w:rPr>
                <w:lang w:val="es-ES"/>
              </w:rPr>
              <w:t xml:space="preserve">, o cualquier </w:t>
            </w:r>
            <w:r>
              <w:rPr>
                <w:lang w:val="es-ES"/>
              </w:rPr>
              <w:t xml:space="preserve">sucesor, cesionario o </w:t>
            </w:r>
            <w:r w:rsidRPr="00E53971">
              <w:rPr>
                <w:lang w:val="es-ES"/>
              </w:rPr>
              <w:t xml:space="preserve">entidad que ostente en cada momento tal condición, será referida como el </w:t>
            </w:r>
            <w:r w:rsidRPr="00E53971">
              <w:rPr>
                <w:b/>
                <w:lang w:val="es-ES"/>
              </w:rPr>
              <w:t>Agente</w:t>
            </w:r>
            <w:r>
              <w:rPr>
                <w:b/>
                <w:lang w:val="es-ES"/>
              </w:rPr>
              <w:t xml:space="preserve"> NPA</w:t>
            </w:r>
            <w:r w:rsidRPr="00E53971">
              <w:rPr>
                <w:lang w:val="es-ES"/>
              </w:rPr>
              <w:t>.</w:t>
            </w:r>
          </w:p>
        </w:tc>
        <w:tc>
          <w:tcPr>
            <w:tcW w:w="2500" w:type="pct"/>
            <w:shd w:val="clear" w:color="auto" w:fill="auto"/>
          </w:tcPr>
          <w:p w14:paraId="1678DCDC" w14:textId="77777777" w:rsidR="000D089E" w:rsidRPr="00882DBA" w:rsidRDefault="000D089E" w:rsidP="000D089E">
            <w:pPr>
              <w:pStyle w:val="AODocTxt"/>
            </w:pPr>
            <w:r>
              <w:t xml:space="preserve">Likewise, </w:t>
            </w:r>
            <w:r w:rsidRPr="00EB5C89">
              <w:t>KROLL</w:t>
            </w:r>
            <w:r w:rsidRPr="00901F23">
              <w:t xml:space="preserve"> as </w:t>
            </w:r>
            <w:r>
              <w:t xml:space="preserve">original paying </w:t>
            </w:r>
            <w:r w:rsidRPr="00901F23">
              <w:t>agent</w:t>
            </w:r>
            <w:r w:rsidRPr="00882DBA">
              <w:rPr>
                <w:lang w:eastAsia="en-GB" w:bidi="en-GB"/>
              </w:rPr>
              <w:t xml:space="preserve"> </w:t>
            </w:r>
            <w:r>
              <w:rPr>
                <w:lang w:eastAsia="en-GB" w:bidi="en-GB"/>
              </w:rPr>
              <w:t xml:space="preserve">and original registrar </w:t>
            </w:r>
            <w:r w:rsidRPr="00882DBA">
              <w:rPr>
                <w:lang w:eastAsia="en-GB" w:bidi="en-GB"/>
              </w:rPr>
              <w:t xml:space="preserve">under the </w:t>
            </w:r>
            <w:r>
              <w:t xml:space="preserve">2021 </w:t>
            </w:r>
            <w:r>
              <w:rPr>
                <w:lang w:eastAsia="en-GB" w:bidi="en-GB"/>
              </w:rPr>
              <w:t>PP Debt Note Purchase Agreement</w:t>
            </w:r>
            <w:r w:rsidRPr="00901F23">
              <w:t xml:space="preserve">, or any </w:t>
            </w:r>
            <w:r w:rsidRPr="00642736">
              <w:t>successor, assignee or entity</w:t>
            </w:r>
            <w:r w:rsidRPr="00901F23">
              <w:t xml:space="preserve"> holding such position from time to t</w:t>
            </w:r>
            <w:r>
              <w:t xml:space="preserve">ime shall be referred to as the </w:t>
            </w:r>
            <w:r>
              <w:rPr>
                <w:b/>
              </w:rPr>
              <w:t>NPA</w:t>
            </w:r>
            <w:r w:rsidRPr="00847DF9">
              <w:rPr>
                <w:b/>
              </w:rPr>
              <w:t xml:space="preserve"> Agent</w:t>
            </w:r>
            <w:r w:rsidRPr="00901F23">
              <w:t>.</w:t>
            </w:r>
          </w:p>
        </w:tc>
      </w:tr>
      <w:tr w:rsidR="000D089E" w:rsidRPr="00882DBA" w14:paraId="305EB1A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81D966E" w14:textId="0FF97BBA" w:rsidR="000D089E" w:rsidRPr="0011474A" w:rsidRDefault="000D089E" w:rsidP="000D089E">
            <w:pPr>
              <w:pStyle w:val="AODocTxt"/>
              <w:rPr>
                <w:i/>
                <w:lang w:val="es-ES"/>
              </w:rPr>
            </w:pPr>
            <w:r>
              <w:rPr>
                <w:lang w:val="es-ES"/>
              </w:rPr>
              <w:t xml:space="preserve">Asimismo, </w:t>
            </w:r>
            <w:r w:rsidRPr="00EB5C89">
              <w:rPr>
                <w:lang w:val="es-ES"/>
              </w:rPr>
              <w:t>KROLL</w:t>
            </w:r>
            <w:r>
              <w:rPr>
                <w:lang w:val="es-ES"/>
              </w:rPr>
              <w:t xml:space="preserve"> </w:t>
            </w:r>
            <w:r w:rsidRPr="00E53971">
              <w:rPr>
                <w:lang w:val="es-ES"/>
              </w:rPr>
              <w:t xml:space="preserve">en su condición de </w:t>
            </w:r>
            <w:r>
              <w:rPr>
                <w:lang w:val="es-ES"/>
              </w:rPr>
              <w:t>representante</w:t>
            </w:r>
            <w:r w:rsidRPr="00E53971">
              <w:rPr>
                <w:lang w:val="es-ES"/>
              </w:rPr>
              <w:t xml:space="preserve"> (</w:t>
            </w:r>
            <w:r w:rsidRPr="00434621">
              <w:rPr>
                <w:i/>
                <w:lang w:val="es-ES" w:eastAsia="en-GB" w:bidi="en-GB"/>
              </w:rPr>
              <w:t xml:space="preserve">PP </w:t>
            </w:r>
            <w:proofErr w:type="spellStart"/>
            <w:r w:rsidRPr="00434621">
              <w:rPr>
                <w:i/>
                <w:lang w:val="es-ES" w:eastAsia="en-GB" w:bidi="en-GB"/>
              </w:rPr>
              <w:t>Creditor</w:t>
            </w:r>
            <w:proofErr w:type="spellEnd"/>
            <w:r w:rsidRPr="00434621">
              <w:rPr>
                <w:i/>
                <w:lang w:val="es-ES" w:eastAsia="en-GB" w:bidi="en-GB"/>
              </w:rPr>
              <w:t xml:space="preserve"> </w:t>
            </w:r>
            <w:proofErr w:type="spellStart"/>
            <w:r w:rsidRPr="00434621">
              <w:rPr>
                <w:i/>
                <w:lang w:val="es-ES" w:eastAsia="en-GB" w:bidi="en-GB"/>
              </w:rPr>
              <w:t>Secured</w:t>
            </w:r>
            <w:proofErr w:type="spellEnd"/>
            <w:r w:rsidRPr="00434621">
              <w:rPr>
                <w:i/>
                <w:lang w:val="es-ES" w:eastAsia="en-GB" w:bidi="en-GB"/>
              </w:rPr>
              <w:t xml:space="preserve"> </w:t>
            </w:r>
            <w:proofErr w:type="spellStart"/>
            <w:r w:rsidRPr="00434621">
              <w:rPr>
                <w:i/>
                <w:lang w:val="es-ES" w:eastAsia="en-GB" w:bidi="en-GB"/>
              </w:rPr>
              <w:t>Creditor</w:t>
            </w:r>
            <w:proofErr w:type="spellEnd"/>
            <w:r w:rsidRPr="00434621">
              <w:rPr>
                <w:i/>
                <w:lang w:val="es-ES" w:eastAsia="en-GB" w:bidi="en-GB"/>
              </w:rPr>
              <w:t xml:space="preserve"> Representative</w:t>
            </w:r>
            <w:r w:rsidRPr="00E53971">
              <w:rPr>
                <w:lang w:val="es-ES"/>
              </w:rPr>
              <w:t xml:space="preserve">) bajo el </w:t>
            </w:r>
            <w:r w:rsidRPr="0068181D">
              <w:rPr>
                <w:lang w:val="es-ES"/>
              </w:rPr>
              <w:t>Contrato de Compra de Instrumentos de Deuda</w:t>
            </w:r>
            <w:r w:rsidRPr="0068181D">
              <w:rPr>
                <w:i/>
                <w:lang w:val="es-ES"/>
              </w:rPr>
              <w:t xml:space="preserve"> </w:t>
            </w:r>
            <w:r w:rsidRPr="0068181D">
              <w:rPr>
                <w:lang w:val="es-ES"/>
              </w:rPr>
              <w:t>PP</w:t>
            </w:r>
            <w:r>
              <w:rPr>
                <w:lang w:val="es-ES"/>
              </w:rPr>
              <w:t xml:space="preserve"> 2022 </w:t>
            </w:r>
            <w:r w:rsidRPr="0024367D">
              <w:rPr>
                <w:lang w:val="es-ES"/>
              </w:rPr>
              <w:t>(</w:t>
            </w:r>
            <w:r>
              <w:rPr>
                <w:lang w:val="es-ES"/>
              </w:rPr>
              <w:t xml:space="preserve">2022 </w:t>
            </w:r>
            <w:r w:rsidRPr="0068181D">
              <w:rPr>
                <w:i/>
                <w:lang w:val="es-ES" w:eastAsia="en-GB" w:bidi="en-GB"/>
              </w:rPr>
              <w:t xml:space="preserve">PP Debt Note </w:t>
            </w:r>
            <w:proofErr w:type="spellStart"/>
            <w:r w:rsidRPr="0068181D">
              <w:rPr>
                <w:i/>
                <w:lang w:val="es-ES" w:eastAsia="en-GB" w:bidi="en-GB"/>
              </w:rPr>
              <w:t>Purchase</w:t>
            </w:r>
            <w:proofErr w:type="spellEnd"/>
            <w:r w:rsidRPr="0068181D">
              <w:rPr>
                <w:i/>
                <w:lang w:val="es-ES" w:eastAsia="en-GB" w:bidi="en-GB"/>
              </w:rPr>
              <w:t xml:space="preserve"> </w:t>
            </w:r>
            <w:proofErr w:type="spellStart"/>
            <w:r w:rsidRPr="0068181D">
              <w:rPr>
                <w:i/>
                <w:lang w:val="es-ES" w:eastAsia="en-GB" w:bidi="en-GB"/>
              </w:rPr>
              <w:t>Agreement</w:t>
            </w:r>
            <w:proofErr w:type="spellEnd"/>
            <w:r w:rsidRPr="0024367D">
              <w:rPr>
                <w:lang w:val="es-ES"/>
              </w:rPr>
              <w:t>)</w:t>
            </w:r>
            <w:r>
              <w:rPr>
                <w:lang w:val="es-ES"/>
              </w:rPr>
              <w:t xml:space="preserve">, o cualquier sucesor, cesionario o entidad que ostente en cada momento tal condición, será referida como el </w:t>
            </w:r>
            <w:r>
              <w:rPr>
                <w:b/>
                <w:lang w:val="es-ES"/>
              </w:rPr>
              <w:t>Representante del Contrato de Compra de Instrumentos de deuda PP 2022</w:t>
            </w:r>
            <w:r>
              <w:rPr>
                <w:lang w:val="es-ES"/>
              </w:rPr>
              <w:t>.</w:t>
            </w:r>
          </w:p>
        </w:tc>
        <w:tc>
          <w:tcPr>
            <w:tcW w:w="2500" w:type="pct"/>
            <w:shd w:val="clear" w:color="auto" w:fill="auto"/>
          </w:tcPr>
          <w:p w14:paraId="3220D380" w14:textId="710C57EC" w:rsidR="000D089E" w:rsidRPr="00940793" w:rsidRDefault="000D089E" w:rsidP="000D089E">
            <w:pPr>
              <w:pStyle w:val="AODocTxt"/>
            </w:pPr>
            <w:r w:rsidRPr="00EB5C89">
              <w:t>KROLL</w:t>
            </w:r>
            <w:r w:rsidRPr="0011474A">
              <w:t xml:space="preserve"> as PP secured creditor representative under the </w:t>
            </w:r>
            <w:r>
              <w:rPr>
                <w:lang w:eastAsia="en-GB" w:bidi="en-GB"/>
              </w:rPr>
              <w:t>PP Debt Note Purchase Agreement 2022</w:t>
            </w:r>
            <w:r w:rsidRPr="0011474A">
              <w:t xml:space="preserve">, </w:t>
            </w:r>
            <w:r w:rsidRPr="00901F23">
              <w:t xml:space="preserve">or any </w:t>
            </w:r>
            <w:r w:rsidRPr="00642736">
              <w:t>successor, assignee or entity</w:t>
            </w:r>
            <w:r w:rsidRPr="00901F23">
              <w:t xml:space="preserve"> holding such position from time to t</w:t>
            </w:r>
            <w:r>
              <w:t xml:space="preserve">ime shall be referred to as the </w:t>
            </w:r>
            <w:r w:rsidRPr="00244FCC">
              <w:rPr>
                <w:b/>
                <w:lang w:eastAsia="en-GB" w:bidi="en-GB"/>
              </w:rPr>
              <w:t>PP Creditor Secured Creditor Representative</w:t>
            </w:r>
            <w:r>
              <w:rPr>
                <w:b/>
                <w:lang w:eastAsia="en-GB" w:bidi="en-GB"/>
              </w:rPr>
              <w:t xml:space="preserve"> 2022</w:t>
            </w:r>
            <w:r w:rsidRPr="00901F23">
              <w:t>.</w:t>
            </w:r>
          </w:p>
        </w:tc>
      </w:tr>
      <w:tr w:rsidR="000E5D9E" w:rsidRPr="00882DBA" w14:paraId="7D953AF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F98EC9A" w14:textId="70F8942C" w:rsidR="000E5D9E" w:rsidRDefault="000E5D9E" w:rsidP="000E5D9E">
            <w:pPr>
              <w:pStyle w:val="AODocTxt"/>
              <w:rPr>
                <w:lang w:val="es-ES"/>
              </w:rPr>
            </w:pPr>
            <w:r w:rsidRPr="000E5D9E">
              <w:rPr>
                <w:lang w:val="es-ES"/>
              </w:rPr>
              <w:t>[</w:t>
            </w:r>
            <w:r>
              <w:rPr>
                <w:lang w:val="es-ES"/>
              </w:rPr>
              <w:sym w:font="Wingdings" w:char="F06C"/>
            </w:r>
            <w:r w:rsidRPr="000E5D9E">
              <w:rPr>
                <w:lang w:val="es-ES"/>
              </w:rPr>
              <w:t>] en su condición de representante (</w:t>
            </w:r>
            <w:r w:rsidRPr="000E5D9E">
              <w:rPr>
                <w:i/>
                <w:iCs/>
                <w:lang w:val="es-ES"/>
              </w:rPr>
              <w:t xml:space="preserve">PP </w:t>
            </w:r>
            <w:proofErr w:type="spellStart"/>
            <w:r w:rsidRPr="000E5D9E">
              <w:rPr>
                <w:i/>
                <w:iCs/>
                <w:lang w:val="es-ES"/>
              </w:rPr>
              <w:t>Creditor</w:t>
            </w:r>
            <w:proofErr w:type="spellEnd"/>
            <w:r w:rsidRPr="000E5D9E">
              <w:rPr>
                <w:i/>
                <w:iCs/>
                <w:lang w:val="es-ES"/>
              </w:rPr>
              <w:t xml:space="preserve"> </w:t>
            </w:r>
            <w:proofErr w:type="spellStart"/>
            <w:r w:rsidRPr="000E5D9E">
              <w:rPr>
                <w:i/>
                <w:iCs/>
                <w:lang w:val="es-ES"/>
              </w:rPr>
              <w:t>Secured</w:t>
            </w:r>
            <w:proofErr w:type="spellEnd"/>
            <w:r w:rsidRPr="000E5D9E">
              <w:rPr>
                <w:i/>
                <w:iCs/>
                <w:lang w:val="es-ES"/>
              </w:rPr>
              <w:t xml:space="preserve"> </w:t>
            </w:r>
            <w:proofErr w:type="spellStart"/>
            <w:r w:rsidRPr="000E5D9E">
              <w:rPr>
                <w:i/>
                <w:iCs/>
                <w:lang w:val="es-ES"/>
              </w:rPr>
              <w:t>Creditor</w:t>
            </w:r>
            <w:proofErr w:type="spellEnd"/>
            <w:r w:rsidRPr="000E5D9E">
              <w:rPr>
                <w:i/>
                <w:iCs/>
                <w:lang w:val="es-ES"/>
              </w:rPr>
              <w:t xml:space="preserve"> Representative</w:t>
            </w:r>
            <w:r w:rsidRPr="000E5D9E">
              <w:rPr>
                <w:lang w:val="es-ES"/>
              </w:rPr>
              <w:t xml:space="preserve">) bajo el Contrato de Compra de Instrumentos de Deuda PP 2025 (PP Debt Note </w:t>
            </w:r>
            <w:proofErr w:type="spellStart"/>
            <w:r w:rsidRPr="000E5D9E">
              <w:rPr>
                <w:lang w:val="es-ES"/>
              </w:rPr>
              <w:t>Purchase</w:t>
            </w:r>
            <w:proofErr w:type="spellEnd"/>
            <w:r w:rsidRPr="000E5D9E">
              <w:rPr>
                <w:lang w:val="es-ES"/>
              </w:rPr>
              <w:t xml:space="preserve"> </w:t>
            </w:r>
            <w:proofErr w:type="spellStart"/>
            <w:r w:rsidRPr="000E5D9E">
              <w:rPr>
                <w:lang w:val="es-ES"/>
              </w:rPr>
              <w:t>Agreement</w:t>
            </w:r>
            <w:proofErr w:type="spellEnd"/>
            <w:r w:rsidRPr="000E5D9E">
              <w:rPr>
                <w:lang w:val="es-ES"/>
              </w:rPr>
              <w:t xml:space="preserve">) o cualquier entidad que ostente en cada momento tal condición, será referida como el </w:t>
            </w:r>
            <w:r w:rsidRPr="000E5D9E">
              <w:rPr>
                <w:b/>
                <w:bCs/>
                <w:lang w:val="es-ES"/>
              </w:rPr>
              <w:t>Representante del Contrato de Compra de Instrumentos de Deuda PP 2025</w:t>
            </w:r>
            <w:r w:rsidRPr="000E5D9E">
              <w:rPr>
                <w:lang w:val="es-ES"/>
              </w:rPr>
              <w:t>.</w:t>
            </w:r>
          </w:p>
        </w:tc>
        <w:tc>
          <w:tcPr>
            <w:tcW w:w="2500" w:type="pct"/>
            <w:shd w:val="clear" w:color="auto" w:fill="auto"/>
          </w:tcPr>
          <w:p w14:paraId="28B9DE63" w14:textId="52200758" w:rsidR="000E5D9E" w:rsidRPr="00EB5C89" w:rsidRDefault="000E5D9E" w:rsidP="000E5D9E">
            <w:pPr>
              <w:pStyle w:val="AODocTxt"/>
            </w:pPr>
            <w:r w:rsidRPr="000E5D9E">
              <w:t>[</w:t>
            </w:r>
            <w:r>
              <w:sym w:font="Wingdings" w:char="F06C"/>
            </w:r>
            <w:r w:rsidRPr="000E5D9E">
              <w:t xml:space="preserve">] as PP secured creditor representative under the PP Note Purchase Agreement, or any other entity holding such position from time to time, shall be referred to as the </w:t>
            </w:r>
            <w:r w:rsidRPr="000E5D9E">
              <w:rPr>
                <w:b/>
                <w:bCs/>
              </w:rPr>
              <w:t>PP Creditor Secured Creditor Representative 2025</w:t>
            </w:r>
            <w:r w:rsidRPr="000E5D9E">
              <w:t>.</w:t>
            </w:r>
          </w:p>
        </w:tc>
      </w:tr>
      <w:tr w:rsidR="000D089E" w:rsidRPr="00847DF9" w14:paraId="3FF5569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BD28A45" w14:textId="77777777" w:rsidR="000D089E" w:rsidRPr="00847DF9" w:rsidRDefault="000D089E" w:rsidP="000D089E">
            <w:pPr>
              <w:pStyle w:val="AODocTxt"/>
              <w:rPr>
                <w:b/>
              </w:rPr>
            </w:pPr>
            <w:r w:rsidRPr="00847DF9">
              <w:rPr>
                <w:b/>
              </w:rPr>
              <w:t xml:space="preserve">De </w:t>
            </w:r>
            <w:proofErr w:type="spellStart"/>
            <w:r w:rsidRPr="00847DF9">
              <w:rPr>
                <w:b/>
              </w:rPr>
              <w:t>otra</w:t>
            </w:r>
            <w:proofErr w:type="spellEnd"/>
            <w:r w:rsidRPr="00847DF9">
              <w:rPr>
                <w:b/>
              </w:rPr>
              <w:t xml:space="preserve"> </w:t>
            </w:r>
            <w:proofErr w:type="spellStart"/>
            <w:r w:rsidRPr="00847DF9">
              <w:rPr>
                <w:b/>
              </w:rPr>
              <w:t>parte</w:t>
            </w:r>
            <w:proofErr w:type="spellEnd"/>
            <w:r w:rsidRPr="00847DF9">
              <w:rPr>
                <w:b/>
              </w:rPr>
              <w:t>,</w:t>
            </w:r>
          </w:p>
        </w:tc>
        <w:tc>
          <w:tcPr>
            <w:tcW w:w="2500" w:type="pct"/>
            <w:shd w:val="clear" w:color="auto" w:fill="auto"/>
          </w:tcPr>
          <w:p w14:paraId="170F45CC" w14:textId="77777777" w:rsidR="000D089E" w:rsidRPr="00847DF9" w:rsidRDefault="000D089E" w:rsidP="000D089E">
            <w:pPr>
              <w:pStyle w:val="AODocTxt"/>
              <w:rPr>
                <w:b/>
              </w:rPr>
            </w:pPr>
            <w:r w:rsidRPr="00847DF9">
              <w:rPr>
                <w:b/>
              </w:rPr>
              <w:t>On the other hand,</w:t>
            </w:r>
          </w:p>
        </w:tc>
      </w:tr>
      <w:tr w:rsidR="000D089E" w:rsidRPr="00847DF9" w14:paraId="273F1C8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2078A2A" w14:textId="77777777" w:rsidR="000D089E" w:rsidRPr="00847DF9" w:rsidRDefault="000D089E" w:rsidP="000D089E">
            <w:pPr>
              <w:pStyle w:val="AO1"/>
              <w:rPr>
                <w:b/>
              </w:rPr>
            </w:pPr>
            <w:r>
              <w:rPr>
                <w:b/>
                <w:bCs/>
              </w:rPr>
              <w:t xml:space="preserve">ING BANK N.V. </w:t>
            </w:r>
            <w:r w:rsidRPr="00434621">
              <w:rPr>
                <w:bCs/>
              </w:rPr>
              <w:t>(</w:t>
            </w:r>
            <w:r>
              <w:rPr>
                <w:b/>
                <w:bCs/>
              </w:rPr>
              <w:t>ING</w:t>
            </w:r>
            <w:r w:rsidRPr="00434621">
              <w:rPr>
                <w:bCs/>
              </w:rPr>
              <w:t>)</w:t>
            </w:r>
          </w:p>
        </w:tc>
        <w:tc>
          <w:tcPr>
            <w:tcW w:w="2500" w:type="pct"/>
            <w:shd w:val="clear" w:color="auto" w:fill="auto"/>
          </w:tcPr>
          <w:p w14:paraId="364C46A6" w14:textId="77777777" w:rsidR="000D089E" w:rsidRPr="00FC0066" w:rsidRDefault="000D089E" w:rsidP="000D089E">
            <w:pPr>
              <w:pStyle w:val="AODocTxt"/>
              <w:numPr>
                <w:ilvl w:val="0"/>
                <w:numId w:val="33"/>
              </w:numPr>
              <w:ind w:hanging="720"/>
            </w:pPr>
            <w:r w:rsidRPr="00316E16">
              <w:rPr>
                <w:b/>
                <w:bCs/>
              </w:rPr>
              <w:t>ING BANK N.V. (ING)</w:t>
            </w:r>
          </w:p>
        </w:tc>
      </w:tr>
      <w:tr w:rsidR="000D089E" w:rsidRPr="00CA510A" w14:paraId="45105CE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B365929" w14:textId="77777777" w:rsidR="000D089E" w:rsidRPr="00FB4985" w:rsidRDefault="000D089E" w:rsidP="000D089E">
            <w:pPr>
              <w:pStyle w:val="AODocTxt"/>
              <w:rPr>
                <w:b/>
                <w:lang w:val="es-ES"/>
              </w:rPr>
            </w:pPr>
            <w:r w:rsidRPr="00384C08">
              <w:rPr>
                <w:lang w:val="es-ES"/>
              </w:rPr>
              <w:t>ING</w:t>
            </w:r>
            <w:r w:rsidRPr="00FB4985">
              <w:rPr>
                <w:lang w:val="es-ES"/>
              </w:rPr>
              <w:t xml:space="preserve"> en su condición de Agente de Garantías (</w:t>
            </w:r>
            <w:r>
              <w:rPr>
                <w:i/>
                <w:lang w:val="es-ES"/>
              </w:rPr>
              <w:t>Security Trustee</w:t>
            </w:r>
            <w:r w:rsidRPr="00FB4985">
              <w:rPr>
                <w:lang w:val="es-ES"/>
              </w:rPr>
              <w:t xml:space="preserve">) bajo </w:t>
            </w:r>
            <w:r>
              <w:rPr>
                <w:lang w:val="es-ES"/>
              </w:rPr>
              <w:t xml:space="preserve">el </w:t>
            </w:r>
            <w:r w:rsidRPr="00FB4985">
              <w:rPr>
                <w:lang w:val="es-ES"/>
              </w:rPr>
              <w:t>Contrato entre Acreedores</w:t>
            </w:r>
            <w:r>
              <w:rPr>
                <w:lang w:val="es-ES"/>
              </w:rPr>
              <w:t xml:space="preserve"> </w:t>
            </w:r>
            <w:r w:rsidRPr="00E53971">
              <w:rPr>
                <w:lang w:val="es-ES"/>
              </w:rPr>
              <w:t>(tal y como este término se define a continuación)</w:t>
            </w:r>
            <w:r w:rsidRPr="00FB4985">
              <w:rPr>
                <w:lang w:val="es-ES"/>
              </w:rPr>
              <w:t xml:space="preserve"> o </w:t>
            </w:r>
            <w:r w:rsidRPr="00FB4985">
              <w:rPr>
                <w:lang w:val="es"/>
              </w:rPr>
              <w:t>cualquier sucesor, cesionario o entidad que ostente en cada momento tal condición,</w:t>
            </w:r>
            <w:r w:rsidRPr="00FB4985">
              <w:rPr>
                <w:b/>
                <w:lang w:val="es-ES"/>
              </w:rPr>
              <w:t xml:space="preserve"> </w:t>
            </w:r>
            <w:r w:rsidRPr="00FB4985">
              <w:rPr>
                <w:lang w:val="es-ES"/>
              </w:rPr>
              <w:t>será denominado</w:t>
            </w:r>
            <w:r>
              <w:rPr>
                <w:lang w:val="es-ES"/>
              </w:rPr>
              <w:t xml:space="preserve"> </w:t>
            </w:r>
            <w:r w:rsidRPr="00FB4985">
              <w:rPr>
                <w:lang w:val="es-ES"/>
              </w:rPr>
              <w:t xml:space="preserve">el </w:t>
            </w:r>
            <w:r w:rsidRPr="00FB4985">
              <w:rPr>
                <w:b/>
                <w:lang w:val="es-ES"/>
              </w:rPr>
              <w:t>Agente de Garantías</w:t>
            </w:r>
            <w:r>
              <w:rPr>
                <w:b/>
                <w:lang w:val="es-ES"/>
              </w:rPr>
              <w:t>.</w:t>
            </w:r>
            <w:r w:rsidRPr="00384C08">
              <w:rPr>
                <w:b/>
                <w:i/>
                <w:lang w:val="es-ES"/>
              </w:rPr>
              <w:t xml:space="preserve"> </w:t>
            </w:r>
          </w:p>
        </w:tc>
        <w:tc>
          <w:tcPr>
            <w:tcW w:w="2500" w:type="pct"/>
            <w:shd w:val="clear" w:color="auto" w:fill="auto"/>
          </w:tcPr>
          <w:p w14:paraId="2F0745E0" w14:textId="77777777" w:rsidR="000D089E" w:rsidRPr="00CA510A" w:rsidRDefault="000D089E" w:rsidP="000D089E">
            <w:pPr>
              <w:pStyle w:val="AODocTxt"/>
              <w:rPr>
                <w:b/>
              </w:rPr>
            </w:pPr>
            <w:r>
              <w:t>ING</w:t>
            </w:r>
            <w:r w:rsidRPr="00642736">
              <w:t xml:space="preserve"> acting as </w:t>
            </w:r>
            <w:r>
              <w:t>Security Trustee</w:t>
            </w:r>
            <w:r w:rsidRPr="00642736">
              <w:t xml:space="preserve"> under the </w:t>
            </w:r>
            <w:r>
              <w:t>STID (as this term is defined below)</w:t>
            </w:r>
            <w:r w:rsidRPr="00642736">
              <w:t xml:space="preserve"> or any successor, assignee or entity holding from time to time such condition shall be referred to</w:t>
            </w:r>
            <w:r>
              <w:t xml:space="preserve"> </w:t>
            </w:r>
            <w:r w:rsidRPr="00642736">
              <w:t xml:space="preserve">as the </w:t>
            </w:r>
            <w:r w:rsidRPr="00642736">
              <w:rPr>
                <w:b/>
              </w:rPr>
              <w:t xml:space="preserve">Security </w:t>
            </w:r>
            <w:r>
              <w:rPr>
                <w:b/>
              </w:rPr>
              <w:t>Trustee</w:t>
            </w:r>
            <w:r>
              <w:t xml:space="preserve">. </w:t>
            </w:r>
          </w:p>
        </w:tc>
      </w:tr>
      <w:tr w:rsidR="000D089E" w:rsidRPr="00901F23" w14:paraId="2344ABE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FC891B6" w14:textId="77777777" w:rsidR="000D089E" w:rsidRPr="00E53971" w:rsidRDefault="000D089E" w:rsidP="000D089E">
            <w:pPr>
              <w:pStyle w:val="AODocTxt"/>
              <w:rPr>
                <w:lang w:val="es-ES"/>
              </w:rPr>
            </w:pPr>
            <w:r>
              <w:rPr>
                <w:lang w:val="es-ES"/>
              </w:rPr>
              <w:t>ING</w:t>
            </w:r>
            <w:r w:rsidRPr="00E53971">
              <w:rPr>
                <w:lang w:val="es-ES"/>
              </w:rPr>
              <w:t xml:space="preserve"> en su condición de agente bajo el </w:t>
            </w:r>
            <w:r>
              <w:rPr>
                <w:lang w:val="es-ES"/>
              </w:rPr>
              <w:t>Contrato de Crédito Autorizado Inicial (</w:t>
            </w:r>
            <w:proofErr w:type="spellStart"/>
            <w:r w:rsidRPr="003C4E1E">
              <w:rPr>
                <w:i/>
                <w:lang w:val="es-ES" w:eastAsia="en-GB" w:bidi="en-GB"/>
              </w:rPr>
              <w:t>Initial</w:t>
            </w:r>
            <w:proofErr w:type="spellEnd"/>
            <w:r w:rsidRPr="003C4E1E">
              <w:rPr>
                <w:i/>
                <w:lang w:val="es-ES" w:eastAsia="en-GB" w:bidi="en-GB"/>
              </w:rPr>
              <w:t xml:space="preserve"> </w:t>
            </w:r>
            <w:proofErr w:type="spellStart"/>
            <w:r w:rsidRPr="003C4E1E">
              <w:rPr>
                <w:i/>
                <w:lang w:val="es-ES" w:eastAsia="en-GB" w:bidi="en-GB"/>
              </w:rPr>
              <w:t>Authorised</w:t>
            </w:r>
            <w:proofErr w:type="spellEnd"/>
            <w:r w:rsidRPr="003C4E1E">
              <w:rPr>
                <w:i/>
                <w:lang w:val="es-ES" w:eastAsia="en-GB" w:bidi="en-GB"/>
              </w:rPr>
              <w:t xml:space="preserve"> </w:t>
            </w:r>
            <w:proofErr w:type="spellStart"/>
            <w:r w:rsidRPr="003C4E1E">
              <w:rPr>
                <w:i/>
                <w:lang w:val="es-ES" w:eastAsia="en-GB" w:bidi="en-GB"/>
              </w:rPr>
              <w:t>Credit</w:t>
            </w:r>
            <w:proofErr w:type="spellEnd"/>
            <w:r w:rsidRPr="003C4E1E">
              <w:rPr>
                <w:i/>
                <w:lang w:val="es-ES" w:eastAsia="en-GB" w:bidi="en-GB"/>
              </w:rPr>
              <w:t xml:space="preserve"> Facilities </w:t>
            </w:r>
            <w:proofErr w:type="spellStart"/>
            <w:r w:rsidRPr="003C4E1E">
              <w:rPr>
                <w:i/>
                <w:lang w:val="es-ES" w:eastAsia="en-GB" w:bidi="en-GB"/>
              </w:rPr>
              <w:t>Agreement</w:t>
            </w:r>
            <w:proofErr w:type="spellEnd"/>
            <w:r w:rsidRPr="003C4E1E">
              <w:rPr>
                <w:lang w:val="es-ES" w:eastAsia="en-GB" w:bidi="en-GB"/>
              </w:rPr>
              <w:t>)</w:t>
            </w:r>
            <w:r w:rsidRPr="00E53971">
              <w:rPr>
                <w:lang w:val="es-ES"/>
              </w:rPr>
              <w:t xml:space="preserve">, o cualquier </w:t>
            </w:r>
            <w:r>
              <w:rPr>
                <w:lang w:val="es-ES"/>
              </w:rPr>
              <w:t xml:space="preserve">sucesor, cesionario o </w:t>
            </w:r>
            <w:r w:rsidRPr="00E53971">
              <w:rPr>
                <w:lang w:val="es-ES"/>
              </w:rPr>
              <w:t xml:space="preserve">entidad que ostente en cada momento tal condición, será referida como el </w:t>
            </w:r>
            <w:r w:rsidRPr="00E53971">
              <w:rPr>
                <w:b/>
                <w:lang w:val="es-ES"/>
              </w:rPr>
              <w:t>Agente</w:t>
            </w:r>
            <w:r>
              <w:rPr>
                <w:b/>
                <w:lang w:val="es-ES"/>
              </w:rPr>
              <w:t xml:space="preserve"> Inicial ACF</w:t>
            </w:r>
            <w:r w:rsidRPr="00E53971">
              <w:rPr>
                <w:lang w:val="es-ES"/>
              </w:rPr>
              <w:t>.</w:t>
            </w:r>
          </w:p>
        </w:tc>
        <w:tc>
          <w:tcPr>
            <w:tcW w:w="2500" w:type="pct"/>
            <w:shd w:val="clear" w:color="auto" w:fill="auto"/>
          </w:tcPr>
          <w:p w14:paraId="6C8AC8C2" w14:textId="77777777" w:rsidR="000D089E" w:rsidRPr="00901F23" w:rsidRDefault="000D089E" w:rsidP="000D089E">
            <w:pPr>
              <w:pStyle w:val="AODocTxt"/>
            </w:pPr>
            <w:r w:rsidRPr="003C4E1E">
              <w:t>ING</w:t>
            </w:r>
            <w:r w:rsidRPr="00901F23">
              <w:t xml:space="preserve"> as agent under the </w:t>
            </w:r>
            <w:r w:rsidRPr="003C4E1E">
              <w:rPr>
                <w:lang w:eastAsia="en-GB" w:bidi="en-GB"/>
              </w:rPr>
              <w:t>Initial Authorised Credit Facilities Agreement</w:t>
            </w:r>
            <w:r w:rsidRPr="00901F23">
              <w:t xml:space="preserve">, or any </w:t>
            </w:r>
            <w:r w:rsidRPr="00642736">
              <w:t>successor, assignee or entity</w:t>
            </w:r>
            <w:r w:rsidRPr="00901F23">
              <w:t xml:space="preserve"> holding such position from time to time, shall be referred to as the </w:t>
            </w:r>
            <w:r w:rsidRPr="009F7053">
              <w:rPr>
                <w:b/>
              </w:rPr>
              <w:t xml:space="preserve">Initial </w:t>
            </w:r>
            <w:r>
              <w:rPr>
                <w:b/>
              </w:rPr>
              <w:t>ACF</w:t>
            </w:r>
            <w:r w:rsidRPr="00847DF9">
              <w:rPr>
                <w:b/>
              </w:rPr>
              <w:t xml:space="preserve"> Agent</w:t>
            </w:r>
            <w:r w:rsidRPr="00901F23">
              <w:t>.</w:t>
            </w:r>
          </w:p>
        </w:tc>
      </w:tr>
      <w:tr w:rsidR="000D089E" w:rsidRPr="00901F23" w14:paraId="1099ECD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C843083" w14:textId="77777777" w:rsidR="000D089E" w:rsidRPr="00E53971" w:rsidRDefault="000D089E" w:rsidP="000D089E">
            <w:pPr>
              <w:pStyle w:val="AODocTxt"/>
              <w:rPr>
                <w:lang w:val="es-ES"/>
              </w:rPr>
            </w:pPr>
            <w:r>
              <w:rPr>
                <w:lang w:val="es-ES"/>
              </w:rPr>
              <w:lastRenderedPageBreak/>
              <w:t>ING</w:t>
            </w:r>
            <w:r w:rsidRPr="00E53971">
              <w:rPr>
                <w:lang w:val="es-ES"/>
              </w:rPr>
              <w:t xml:space="preserve"> en su condición de agente de la financiación (</w:t>
            </w:r>
            <w:proofErr w:type="spellStart"/>
            <w:r w:rsidRPr="00E53971">
              <w:rPr>
                <w:i/>
                <w:lang w:val="es-ES"/>
              </w:rPr>
              <w:t>Agent</w:t>
            </w:r>
            <w:proofErr w:type="spellEnd"/>
            <w:r w:rsidRPr="00E53971">
              <w:rPr>
                <w:lang w:val="es-ES"/>
              </w:rPr>
              <w:t xml:space="preserve">) bajo el </w:t>
            </w:r>
            <w:r>
              <w:rPr>
                <w:lang w:val="es-ES"/>
              </w:rPr>
              <w:t>Contrato de Crédito MRF (</w:t>
            </w:r>
            <w:proofErr w:type="spellStart"/>
            <w:r w:rsidRPr="003C4E1E">
              <w:rPr>
                <w:i/>
                <w:lang w:val="es-ES" w:eastAsia="en-GB" w:bidi="en-GB"/>
              </w:rPr>
              <w:t>Initial</w:t>
            </w:r>
            <w:proofErr w:type="spellEnd"/>
            <w:r w:rsidRPr="003C4E1E">
              <w:rPr>
                <w:i/>
                <w:lang w:val="es-ES" w:eastAsia="en-GB" w:bidi="en-GB"/>
              </w:rPr>
              <w:t xml:space="preserve"> </w:t>
            </w:r>
            <w:proofErr w:type="spellStart"/>
            <w:r w:rsidRPr="003C4E1E">
              <w:rPr>
                <w:i/>
                <w:lang w:val="es-ES" w:eastAsia="en-GB" w:bidi="en-GB"/>
              </w:rPr>
              <w:t>Maintenance</w:t>
            </w:r>
            <w:proofErr w:type="spellEnd"/>
            <w:r w:rsidRPr="003C4E1E">
              <w:rPr>
                <w:i/>
                <w:lang w:val="es-ES" w:eastAsia="en-GB" w:bidi="en-GB"/>
              </w:rPr>
              <w:t xml:space="preserve"> Reserve </w:t>
            </w:r>
            <w:proofErr w:type="spellStart"/>
            <w:r w:rsidRPr="003C4E1E">
              <w:rPr>
                <w:i/>
                <w:lang w:val="es-ES" w:eastAsia="en-GB" w:bidi="en-GB"/>
              </w:rPr>
              <w:t>Facility</w:t>
            </w:r>
            <w:proofErr w:type="spellEnd"/>
            <w:r w:rsidRPr="003C4E1E">
              <w:rPr>
                <w:i/>
                <w:lang w:val="es-ES" w:eastAsia="en-GB" w:bidi="en-GB"/>
              </w:rPr>
              <w:t xml:space="preserve"> </w:t>
            </w:r>
            <w:proofErr w:type="spellStart"/>
            <w:r w:rsidRPr="003C4E1E">
              <w:rPr>
                <w:i/>
                <w:lang w:val="es-ES" w:eastAsia="en-GB" w:bidi="en-GB"/>
              </w:rPr>
              <w:t>Agreement</w:t>
            </w:r>
            <w:proofErr w:type="spellEnd"/>
            <w:r w:rsidRPr="003C4E1E">
              <w:rPr>
                <w:lang w:val="es-ES" w:eastAsia="en-GB" w:bidi="en-GB"/>
              </w:rPr>
              <w:t>)</w:t>
            </w:r>
            <w:r w:rsidRPr="00E53971">
              <w:rPr>
                <w:lang w:val="es-ES"/>
              </w:rPr>
              <w:t xml:space="preserve">, o cualquier </w:t>
            </w:r>
            <w:r>
              <w:rPr>
                <w:lang w:val="es-ES"/>
              </w:rPr>
              <w:t xml:space="preserve">sucesor, cesionario o </w:t>
            </w:r>
            <w:r w:rsidRPr="00E53971">
              <w:rPr>
                <w:lang w:val="es-ES"/>
              </w:rPr>
              <w:t xml:space="preserve">entidad que ostente en cada momento tal condición, será referida como el </w:t>
            </w:r>
            <w:r w:rsidRPr="00E53971">
              <w:rPr>
                <w:b/>
                <w:lang w:val="es-ES"/>
              </w:rPr>
              <w:t>Agente</w:t>
            </w:r>
            <w:r>
              <w:rPr>
                <w:b/>
                <w:lang w:val="es-ES"/>
              </w:rPr>
              <w:t xml:space="preserve"> Inicial MRF</w:t>
            </w:r>
            <w:r w:rsidRPr="00E53971">
              <w:rPr>
                <w:lang w:val="es-ES"/>
              </w:rPr>
              <w:t>.</w:t>
            </w:r>
          </w:p>
        </w:tc>
        <w:tc>
          <w:tcPr>
            <w:tcW w:w="2500" w:type="pct"/>
            <w:shd w:val="clear" w:color="auto" w:fill="auto"/>
          </w:tcPr>
          <w:p w14:paraId="1645D8C6" w14:textId="77777777" w:rsidR="000D089E" w:rsidRPr="00901F23" w:rsidRDefault="000D089E" w:rsidP="000D089E">
            <w:pPr>
              <w:pStyle w:val="AODocTxt"/>
            </w:pPr>
            <w:r w:rsidRPr="003C4E1E">
              <w:t>ING</w:t>
            </w:r>
            <w:r w:rsidRPr="00901F23">
              <w:t xml:space="preserve"> as agent under the </w:t>
            </w:r>
            <w:r w:rsidRPr="00914331">
              <w:rPr>
                <w:lang w:eastAsia="en-GB" w:bidi="en-GB"/>
              </w:rPr>
              <w:t>Initial Maintenance Reserve Facility Agreement</w:t>
            </w:r>
            <w:r w:rsidRPr="00901F23">
              <w:t xml:space="preserve">, or any </w:t>
            </w:r>
            <w:r w:rsidRPr="00642736">
              <w:t>successor, assignee or entity</w:t>
            </w:r>
            <w:r w:rsidRPr="00901F23">
              <w:t xml:space="preserve"> holding such position from time to time, shall be referred to as the </w:t>
            </w:r>
            <w:r w:rsidRPr="00852885">
              <w:rPr>
                <w:b/>
              </w:rPr>
              <w:t>Initial</w:t>
            </w:r>
            <w:r>
              <w:t xml:space="preserve"> </w:t>
            </w:r>
            <w:r>
              <w:rPr>
                <w:b/>
              </w:rPr>
              <w:t>MRF</w:t>
            </w:r>
            <w:r w:rsidRPr="00847DF9">
              <w:rPr>
                <w:b/>
              </w:rPr>
              <w:t xml:space="preserve"> Agent</w:t>
            </w:r>
            <w:r w:rsidRPr="00901F23">
              <w:t>.</w:t>
            </w:r>
          </w:p>
        </w:tc>
      </w:tr>
      <w:tr w:rsidR="000D089E" w:rsidRPr="00901F23" w14:paraId="73714AB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C1F9D76" w14:textId="77777777" w:rsidR="000D089E" w:rsidRPr="00E53971" w:rsidRDefault="000D089E" w:rsidP="000D089E">
            <w:pPr>
              <w:pStyle w:val="AODocTxt"/>
              <w:rPr>
                <w:lang w:val="es-ES"/>
              </w:rPr>
            </w:pPr>
            <w:r>
              <w:rPr>
                <w:lang w:val="es-ES"/>
              </w:rPr>
              <w:t>ING</w:t>
            </w:r>
            <w:r w:rsidRPr="00E53971">
              <w:rPr>
                <w:lang w:val="es-ES"/>
              </w:rPr>
              <w:t xml:space="preserve"> en su condición de agente de la financiación (</w:t>
            </w:r>
            <w:proofErr w:type="spellStart"/>
            <w:r w:rsidRPr="00E53971">
              <w:rPr>
                <w:i/>
                <w:lang w:val="es-ES"/>
              </w:rPr>
              <w:t>Agent</w:t>
            </w:r>
            <w:proofErr w:type="spellEnd"/>
            <w:r w:rsidRPr="00E53971">
              <w:rPr>
                <w:lang w:val="es-ES"/>
              </w:rPr>
              <w:t xml:space="preserve">) bajo el </w:t>
            </w:r>
            <w:r>
              <w:rPr>
                <w:lang w:val="es-ES"/>
              </w:rPr>
              <w:t>Contrato de Liquidez LF (</w:t>
            </w:r>
            <w:proofErr w:type="spellStart"/>
            <w:r w:rsidRPr="00914331">
              <w:rPr>
                <w:i/>
                <w:lang w:val="es-ES" w:eastAsia="en-GB" w:bidi="en-GB"/>
              </w:rPr>
              <w:t>Initial</w:t>
            </w:r>
            <w:proofErr w:type="spellEnd"/>
            <w:r w:rsidRPr="00914331">
              <w:rPr>
                <w:i/>
                <w:lang w:val="es-ES" w:eastAsia="en-GB" w:bidi="en-GB"/>
              </w:rPr>
              <w:t xml:space="preserve"> </w:t>
            </w:r>
            <w:proofErr w:type="spellStart"/>
            <w:r w:rsidRPr="00914331">
              <w:rPr>
                <w:i/>
                <w:lang w:val="es-ES" w:eastAsia="en-GB" w:bidi="en-GB"/>
              </w:rPr>
              <w:t>Liquidity</w:t>
            </w:r>
            <w:proofErr w:type="spellEnd"/>
            <w:r w:rsidRPr="00914331">
              <w:rPr>
                <w:i/>
                <w:lang w:val="es-ES" w:eastAsia="en-GB" w:bidi="en-GB"/>
              </w:rPr>
              <w:t xml:space="preserve"> </w:t>
            </w:r>
            <w:proofErr w:type="spellStart"/>
            <w:r w:rsidRPr="00914331">
              <w:rPr>
                <w:i/>
                <w:lang w:val="es-ES" w:eastAsia="en-GB" w:bidi="en-GB"/>
              </w:rPr>
              <w:t>Facility</w:t>
            </w:r>
            <w:proofErr w:type="spellEnd"/>
            <w:r w:rsidRPr="00914331">
              <w:rPr>
                <w:i/>
                <w:lang w:val="es-ES" w:eastAsia="en-GB" w:bidi="en-GB"/>
              </w:rPr>
              <w:t xml:space="preserve"> </w:t>
            </w:r>
            <w:proofErr w:type="spellStart"/>
            <w:r w:rsidRPr="00914331">
              <w:rPr>
                <w:i/>
                <w:lang w:val="es-ES" w:eastAsia="en-GB" w:bidi="en-GB"/>
              </w:rPr>
              <w:t>Agreement</w:t>
            </w:r>
            <w:proofErr w:type="spellEnd"/>
            <w:r w:rsidRPr="003C4E1E">
              <w:rPr>
                <w:lang w:val="es-ES" w:eastAsia="en-GB" w:bidi="en-GB"/>
              </w:rPr>
              <w:t>)</w:t>
            </w:r>
            <w:r w:rsidRPr="00E53971">
              <w:rPr>
                <w:lang w:val="es-ES"/>
              </w:rPr>
              <w:t xml:space="preserve">, o cualquier </w:t>
            </w:r>
            <w:r>
              <w:rPr>
                <w:lang w:val="es-ES"/>
              </w:rPr>
              <w:t xml:space="preserve">sucesor, cesionario o </w:t>
            </w:r>
            <w:r w:rsidRPr="00E53971">
              <w:rPr>
                <w:lang w:val="es-ES"/>
              </w:rPr>
              <w:t xml:space="preserve">entidad que ostente en cada momento tal condición, será referida como el </w:t>
            </w:r>
            <w:r w:rsidRPr="00E53971">
              <w:rPr>
                <w:b/>
                <w:lang w:val="es-ES"/>
              </w:rPr>
              <w:t>Agente</w:t>
            </w:r>
            <w:r>
              <w:rPr>
                <w:b/>
                <w:lang w:val="es-ES"/>
              </w:rPr>
              <w:t xml:space="preserve"> Inicial LF</w:t>
            </w:r>
            <w:r w:rsidRPr="00E53971">
              <w:rPr>
                <w:lang w:val="es-ES"/>
              </w:rPr>
              <w:t>.</w:t>
            </w:r>
          </w:p>
        </w:tc>
        <w:tc>
          <w:tcPr>
            <w:tcW w:w="2500" w:type="pct"/>
            <w:shd w:val="clear" w:color="auto" w:fill="auto"/>
          </w:tcPr>
          <w:p w14:paraId="63E8C242" w14:textId="77777777" w:rsidR="000D089E" w:rsidRPr="00901F23" w:rsidRDefault="000D089E" w:rsidP="000D089E">
            <w:pPr>
              <w:pStyle w:val="AODocTxt"/>
            </w:pPr>
            <w:r w:rsidRPr="003C4E1E">
              <w:t>ING</w:t>
            </w:r>
            <w:r w:rsidRPr="00901F23">
              <w:t xml:space="preserve"> as agent under the </w:t>
            </w:r>
            <w:r w:rsidRPr="00914331">
              <w:rPr>
                <w:lang w:eastAsia="en-GB" w:bidi="en-GB"/>
              </w:rPr>
              <w:t>Initial Liquidity Facility Agreement</w:t>
            </w:r>
            <w:r w:rsidRPr="00901F23">
              <w:t xml:space="preserve">, or any </w:t>
            </w:r>
            <w:r w:rsidRPr="00642736">
              <w:t>successor, assignee or entity</w:t>
            </w:r>
            <w:r w:rsidRPr="00901F23">
              <w:t xml:space="preserve"> holding such position from time to time, shall be referred to as the </w:t>
            </w:r>
            <w:r w:rsidRPr="00852885">
              <w:rPr>
                <w:b/>
              </w:rPr>
              <w:t xml:space="preserve">Initial </w:t>
            </w:r>
            <w:r>
              <w:rPr>
                <w:b/>
              </w:rPr>
              <w:t>LF</w:t>
            </w:r>
            <w:r w:rsidRPr="00847DF9">
              <w:rPr>
                <w:b/>
              </w:rPr>
              <w:t xml:space="preserve"> Agent</w:t>
            </w:r>
            <w:r w:rsidRPr="00901F23">
              <w:t>.</w:t>
            </w:r>
          </w:p>
        </w:tc>
      </w:tr>
      <w:tr w:rsidR="000D089E" w:rsidRPr="00901F23" w14:paraId="17664D8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C4B7E02" w14:textId="77777777" w:rsidR="000D089E" w:rsidRPr="00E53971" w:rsidRDefault="000D089E" w:rsidP="000D089E">
            <w:pPr>
              <w:pStyle w:val="AODocTxt"/>
              <w:rPr>
                <w:lang w:val="es-ES"/>
              </w:rPr>
            </w:pPr>
            <w:r>
              <w:rPr>
                <w:lang w:val="es-ES"/>
              </w:rPr>
              <w:t>ING</w:t>
            </w:r>
            <w:r w:rsidRPr="00E53971">
              <w:rPr>
                <w:lang w:val="es-ES"/>
              </w:rPr>
              <w:t xml:space="preserve"> en su condición de agente de la financiación (</w:t>
            </w:r>
            <w:proofErr w:type="spellStart"/>
            <w:r w:rsidRPr="00E53971">
              <w:rPr>
                <w:i/>
                <w:lang w:val="es-ES"/>
              </w:rPr>
              <w:t>Agent</w:t>
            </w:r>
            <w:proofErr w:type="spellEnd"/>
            <w:r w:rsidRPr="00E53971">
              <w:rPr>
                <w:lang w:val="es-ES"/>
              </w:rPr>
              <w:t xml:space="preserve">) bajo el </w:t>
            </w:r>
            <w:r>
              <w:rPr>
                <w:lang w:val="es-ES"/>
              </w:rPr>
              <w:t>Contrato de Liquidez 2023 (</w:t>
            </w:r>
            <w:proofErr w:type="spellStart"/>
            <w:r w:rsidRPr="00914331">
              <w:rPr>
                <w:i/>
                <w:lang w:val="es-ES" w:eastAsia="en-GB" w:bidi="en-GB"/>
              </w:rPr>
              <w:t>Liquidity</w:t>
            </w:r>
            <w:proofErr w:type="spellEnd"/>
            <w:r w:rsidRPr="00914331">
              <w:rPr>
                <w:i/>
                <w:lang w:val="es-ES" w:eastAsia="en-GB" w:bidi="en-GB"/>
              </w:rPr>
              <w:t xml:space="preserve"> </w:t>
            </w:r>
            <w:proofErr w:type="spellStart"/>
            <w:r w:rsidRPr="00914331">
              <w:rPr>
                <w:i/>
                <w:lang w:val="es-ES" w:eastAsia="en-GB" w:bidi="en-GB"/>
              </w:rPr>
              <w:t>Facility</w:t>
            </w:r>
            <w:proofErr w:type="spellEnd"/>
            <w:r w:rsidRPr="00914331">
              <w:rPr>
                <w:i/>
                <w:lang w:val="es-ES" w:eastAsia="en-GB" w:bidi="en-GB"/>
              </w:rPr>
              <w:t xml:space="preserve"> </w:t>
            </w:r>
            <w:proofErr w:type="spellStart"/>
            <w:r w:rsidRPr="00914331">
              <w:rPr>
                <w:i/>
                <w:lang w:val="es-ES" w:eastAsia="en-GB" w:bidi="en-GB"/>
              </w:rPr>
              <w:t>Agreement</w:t>
            </w:r>
            <w:proofErr w:type="spellEnd"/>
            <w:r w:rsidRPr="003C4E1E">
              <w:rPr>
                <w:lang w:val="es-ES" w:eastAsia="en-GB" w:bidi="en-GB"/>
              </w:rPr>
              <w:t>)</w:t>
            </w:r>
            <w:r w:rsidRPr="00E53971">
              <w:rPr>
                <w:lang w:val="es-ES"/>
              </w:rPr>
              <w:t xml:space="preserve">, o cualquier </w:t>
            </w:r>
            <w:r>
              <w:rPr>
                <w:lang w:val="es-ES"/>
              </w:rPr>
              <w:t xml:space="preserve">sucesor, cesionario o </w:t>
            </w:r>
            <w:r w:rsidRPr="00E53971">
              <w:rPr>
                <w:lang w:val="es-ES"/>
              </w:rPr>
              <w:t xml:space="preserve">entidad que ostente en cada momento tal condición, será referida como el </w:t>
            </w:r>
            <w:r w:rsidRPr="00E53971">
              <w:rPr>
                <w:b/>
                <w:lang w:val="es-ES"/>
              </w:rPr>
              <w:t>Agente</w:t>
            </w:r>
            <w:r>
              <w:rPr>
                <w:b/>
                <w:lang w:val="es-ES"/>
              </w:rPr>
              <w:t xml:space="preserve"> LF</w:t>
            </w:r>
            <w:r w:rsidRPr="00E53971">
              <w:rPr>
                <w:lang w:val="es-ES"/>
              </w:rPr>
              <w:t>.</w:t>
            </w:r>
          </w:p>
        </w:tc>
        <w:tc>
          <w:tcPr>
            <w:tcW w:w="2500" w:type="pct"/>
            <w:shd w:val="clear" w:color="auto" w:fill="auto"/>
          </w:tcPr>
          <w:p w14:paraId="572DE991" w14:textId="77777777" w:rsidR="000D089E" w:rsidRPr="00901F23" w:rsidRDefault="000D089E" w:rsidP="000D089E">
            <w:pPr>
              <w:pStyle w:val="AODocTxt"/>
            </w:pPr>
            <w:r w:rsidRPr="003C4E1E">
              <w:t>ING</w:t>
            </w:r>
            <w:r w:rsidRPr="00901F23">
              <w:t xml:space="preserve"> as agent under the</w:t>
            </w:r>
            <w:r>
              <w:t xml:space="preserve"> 2023</w:t>
            </w:r>
            <w:r w:rsidRPr="00914331">
              <w:rPr>
                <w:lang w:eastAsia="en-GB" w:bidi="en-GB"/>
              </w:rPr>
              <w:t xml:space="preserve"> Liquidity Facility Agreement</w:t>
            </w:r>
            <w:r w:rsidRPr="00901F23">
              <w:t xml:space="preserve">, or any </w:t>
            </w:r>
            <w:r w:rsidRPr="00642736">
              <w:t>successor, assignee or entity</w:t>
            </w:r>
            <w:r w:rsidRPr="00901F23">
              <w:t xml:space="preserve"> holding such position from time to time, shall be referred to as the </w:t>
            </w:r>
            <w:r>
              <w:rPr>
                <w:b/>
              </w:rPr>
              <w:t>LF</w:t>
            </w:r>
            <w:r w:rsidRPr="00847DF9">
              <w:rPr>
                <w:b/>
              </w:rPr>
              <w:t xml:space="preserve"> Agent</w:t>
            </w:r>
            <w:r w:rsidRPr="00901F23">
              <w:t>.</w:t>
            </w:r>
          </w:p>
        </w:tc>
      </w:tr>
      <w:tr w:rsidR="000D089E" w:rsidRPr="00901F23" w14:paraId="683AB07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7C8D340" w14:textId="1BFCACFF" w:rsidR="000D089E" w:rsidRPr="00EC5432" w:rsidRDefault="000D089E" w:rsidP="000D089E">
            <w:pPr>
              <w:pStyle w:val="AODocTxt"/>
              <w:rPr>
                <w:lang w:val="es-ES"/>
              </w:rPr>
            </w:pPr>
            <w:r>
              <w:rPr>
                <w:lang w:val="es-ES"/>
              </w:rPr>
              <w:t>ING</w:t>
            </w:r>
            <w:r w:rsidRPr="00EC5432">
              <w:rPr>
                <w:lang w:val="es-ES"/>
              </w:rPr>
              <w:t xml:space="preserve"> en su condición de agente de la financiación (</w:t>
            </w:r>
            <w:proofErr w:type="spellStart"/>
            <w:r w:rsidRPr="00EC5432">
              <w:rPr>
                <w:i/>
                <w:lang w:val="es-ES"/>
              </w:rPr>
              <w:t>Agent</w:t>
            </w:r>
            <w:proofErr w:type="spellEnd"/>
            <w:r w:rsidRPr="00EC5432">
              <w:rPr>
                <w:lang w:val="es-ES"/>
              </w:rPr>
              <w:t xml:space="preserve">) bajo el </w:t>
            </w:r>
            <w:r>
              <w:rPr>
                <w:lang w:val="es-ES"/>
              </w:rPr>
              <w:t>Contrato de Crédito Autorizado 2024</w:t>
            </w:r>
            <w:r w:rsidRPr="00BB0700">
              <w:rPr>
                <w:lang w:val="es-ES"/>
              </w:rPr>
              <w:t xml:space="preserve"> </w:t>
            </w:r>
            <w:r w:rsidRPr="00EC5432">
              <w:rPr>
                <w:lang w:val="es-ES"/>
              </w:rPr>
              <w:t>(</w:t>
            </w:r>
            <w:r w:rsidRPr="00EC5432">
              <w:rPr>
                <w:i/>
                <w:iCs/>
                <w:lang w:val="es-ES"/>
              </w:rPr>
              <w:t xml:space="preserve">2024 </w:t>
            </w:r>
            <w:proofErr w:type="spellStart"/>
            <w:r w:rsidRPr="00EC5432">
              <w:rPr>
                <w:i/>
                <w:iCs/>
                <w:lang w:val="es-ES"/>
              </w:rPr>
              <w:t>Authorised</w:t>
            </w:r>
            <w:proofErr w:type="spellEnd"/>
            <w:r w:rsidRPr="00EC5432">
              <w:rPr>
                <w:i/>
                <w:iCs/>
                <w:lang w:val="es-ES"/>
              </w:rPr>
              <w:t xml:space="preserve"> </w:t>
            </w:r>
            <w:proofErr w:type="spellStart"/>
            <w:r w:rsidRPr="00EC5432">
              <w:rPr>
                <w:i/>
                <w:iCs/>
                <w:lang w:val="es-ES"/>
              </w:rPr>
              <w:t>Credit</w:t>
            </w:r>
            <w:proofErr w:type="spellEnd"/>
            <w:r w:rsidRPr="00EC5432">
              <w:rPr>
                <w:i/>
                <w:iCs/>
                <w:lang w:val="es-ES"/>
              </w:rPr>
              <w:t xml:space="preserve"> Facilities</w:t>
            </w:r>
            <w:r w:rsidRPr="00EC5432">
              <w:rPr>
                <w:i/>
                <w:lang w:val="es-ES" w:eastAsia="en-GB" w:bidi="en-GB"/>
              </w:rPr>
              <w:t xml:space="preserve"> </w:t>
            </w:r>
            <w:proofErr w:type="spellStart"/>
            <w:r w:rsidRPr="00EC5432">
              <w:rPr>
                <w:i/>
                <w:lang w:val="es-ES" w:eastAsia="en-GB" w:bidi="en-GB"/>
              </w:rPr>
              <w:t>Agreement</w:t>
            </w:r>
            <w:proofErr w:type="spellEnd"/>
            <w:r w:rsidRPr="00EC5432">
              <w:rPr>
                <w:lang w:val="es-ES" w:eastAsia="en-GB" w:bidi="en-GB"/>
              </w:rPr>
              <w:t>)</w:t>
            </w:r>
            <w:r w:rsidRPr="00EC5432">
              <w:rPr>
                <w:lang w:val="es-ES"/>
              </w:rPr>
              <w:t xml:space="preserve">, o cualquier sucesor, cesionario o entidad que ostente en cada momento tal condición, será referida como el </w:t>
            </w:r>
            <w:r w:rsidRPr="00EC5432">
              <w:rPr>
                <w:b/>
                <w:lang w:val="es-ES"/>
              </w:rPr>
              <w:t>Agente ACF 2024</w:t>
            </w:r>
            <w:r w:rsidRPr="00EC5432">
              <w:rPr>
                <w:lang w:val="es-ES"/>
              </w:rPr>
              <w:t>.</w:t>
            </w:r>
          </w:p>
        </w:tc>
        <w:tc>
          <w:tcPr>
            <w:tcW w:w="2500" w:type="pct"/>
            <w:shd w:val="clear" w:color="auto" w:fill="auto"/>
          </w:tcPr>
          <w:p w14:paraId="4E5D3157" w14:textId="4BBE7E92" w:rsidR="000D089E" w:rsidRPr="00EC5432" w:rsidRDefault="000D089E" w:rsidP="000D089E">
            <w:pPr>
              <w:pStyle w:val="AODocTxt"/>
              <w:numPr>
                <w:ilvl w:val="0"/>
                <w:numId w:val="0"/>
              </w:numPr>
            </w:pPr>
            <w:r w:rsidRPr="005E0E5E">
              <w:t>ING</w:t>
            </w:r>
            <w:r w:rsidRPr="00EC5432">
              <w:t xml:space="preserve"> as agent under the 2024 Authorised Credit Facilities</w:t>
            </w:r>
            <w:r w:rsidRPr="00EC5432">
              <w:rPr>
                <w:lang w:eastAsia="en-GB" w:bidi="en-GB"/>
              </w:rPr>
              <w:t xml:space="preserve"> Agreement</w:t>
            </w:r>
            <w:r w:rsidRPr="00EC5432">
              <w:t xml:space="preserve">, or any successor, assignee or entity holding such position from time to time, shall be referred to as the </w:t>
            </w:r>
            <w:r w:rsidRPr="00EC5432">
              <w:rPr>
                <w:b/>
              </w:rPr>
              <w:t>2024 ACF Agent</w:t>
            </w:r>
            <w:r w:rsidRPr="00EC5432">
              <w:t>.</w:t>
            </w:r>
          </w:p>
        </w:tc>
      </w:tr>
      <w:tr w:rsidR="000D089E" w:rsidRPr="00901F23" w14:paraId="1B2D48D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790DDBA" w14:textId="6620BBE2" w:rsidR="000D089E" w:rsidRPr="00EC5432" w:rsidRDefault="000D089E" w:rsidP="000D089E">
            <w:pPr>
              <w:pStyle w:val="AODocTxt"/>
              <w:rPr>
                <w:lang w:val="es-ES"/>
              </w:rPr>
            </w:pPr>
            <w:r>
              <w:rPr>
                <w:lang w:val="es-ES"/>
              </w:rPr>
              <w:t>ING</w:t>
            </w:r>
            <w:r w:rsidRPr="00EC5432">
              <w:rPr>
                <w:lang w:val="es-ES"/>
              </w:rPr>
              <w:t xml:space="preserve"> en su condición de agente de la financiación (</w:t>
            </w:r>
            <w:proofErr w:type="spellStart"/>
            <w:r w:rsidRPr="00EC5432">
              <w:rPr>
                <w:i/>
                <w:lang w:val="es-ES"/>
              </w:rPr>
              <w:t>Agent</w:t>
            </w:r>
            <w:proofErr w:type="spellEnd"/>
            <w:r w:rsidRPr="00EC5432">
              <w:rPr>
                <w:lang w:val="es-ES"/>
              </w:rPr>
              <w:t xml:space="preserve">) bajo </w:t>
            </w:r>
            <w:r>
              <w:rPr>
                <w:lang w:val="es-ES"/>
              </w:rPr>
              <w:t>Contrato de Crédito MRF 2024</w:t>
            </w:r>
            <w:r w:rsidRPr="00BB0700">
              <w:rPr>
                <w:lang w:val="es-ES"/>
              </w:rPr>
              <w:t xml:space="preserve"> </w:t>
            </w:r>
            <w:r w:rsidRPr="00EC5432">
              <w:rPr>
                <w:lang w:val="es-ES"/>
              </w:rPr>
              <w:t>(</w:t>
            </w:r>
            <w:r w:rsidRPr="00EC5432">
              <w:rPr>
                <w:i/>
                <w:iCs/>
                <w:lang w:val="es-ES"/>
              </w:rPr>
              <w:t>2024</w:t>
            </w:r>
            <w:r w:rsidRPr="00EC5432">
              <w:rPr>
                <w:lang w:val="es-ES"/>
              </w:rPr>
              <w:t xml:space="preserve"> </w:t>
            </w:r>
            <w:proofErr w:type="spellStart"/>
            <w:r w:rsidRPr="00EC5432">
              <w:rPr>
                <w:i/>
                <w:iCs/>
                <w:lang w:val="es-ES"/>
              </w:rPr>
              <w:t>Maintenance</w:t>
            </w:r>
            <w:proofErr w:type="spellEnd"/>
            <w:r w:rsidRPr="00EC5432">
              <w:rPr>
                <w:i/>
                <w:iCs/>
                <w:lang w:val="es-ES"/>
              </w:rPr>
              <w:t xml:space="preserve"> Reserve </w:t>
            </w:r>
            <w:proofErr w:type="spellStart"/>
            <w:r w:rsidRPr="00EC5432">
              <w:rPr>
                <w:i/>
                <w:iCs/>
                <w:lang w:val="es-ES"/>
              </w:rPr>
              <w:t>Facility</w:t>
            </w:r>
            <w:proofErr w:type="spellEnd"/>
            <w:r w:rsidRPr="00EC5432">
              <w:rPr>
                <w:i/>
                <w:iCs/>
                <w:lang w:val="es-ES"/>
              </w:rPr>
              <w:t xml:space="preserve"> </w:t>
            </w:r>
            <w:proofErr w:type="spellStart"/>
            <w:r w:rsidRPr="00EC5432">
              <w:rPr>
                <w:i/>
                <w:iCs/>
                <w:lang w:val="es-ES"/>
              </w:rPr>
              <w:t>Agreement</w:t>
            </w:r>
            <w:proofErr w:type="spellEnd"/>
            <w:r w:rsidRPr="00EC5432">
              <w:rPr>
                <w:lang w:val="es-ES" w:eastAsia="en-GB" w:bidi="en-GB"/>
              </w:rPr>
              <w:t>)</w:t>
            </w:r>
            <w:r w:rsidRPr="00EC5432">
              <w:rPr>
                <w:lang w:val="es-ES"/>
              </w:rPr>
              <w:t xml:space="preserve">, o cualquier sucesor, cesionario o entidad que ostente en cada momento tal condición, será referida como el </w:t>
            </w:r>
            <w:r w:rsidRPr="00EC5432">
              <w:rPr>
                <w:b/>
                <w:lang w:val="es-ES"/>
              </w:rPr>
              <w:t xml:space="preserve">Agente </w:t>
            </w:r>
            <w:r>
              <w:rPr>
                <w:b/>
                <w:lang w:val="es-ES"/>
              </w:rPr>
              <w:t>MRF</w:t>
            </w:r>
            <w:r w:rsidRPr="00EC5432">
              <w:rPr>
                <w:b/>
                <w:lang w:val="es-ES"/>
              </w:rPr>
              <w:t xml:space="preserve"> 2024</w:t>
            </w:r>
            <w:r w:rsidRPr="00EC5432">
              <w:rPr>
                <w:lang w:val="es-ES"/>
              </w:rPr>
              <w:t>.</w:t>
            </w:r>
          </w:p>
        </w:tc>
        <w:tc>
          <w:tcPr>
            <w:tcW w:w="2500" w:type="pct"/>
            <w:shd w:val="clear" w:color="auto" w:fill="auto"/>
          </w:tcPr>
          <w:p w14:paraId="6B9701CF" w14:textId="4C4D6EF2" w:rsidR="000D089E" w:rsidRPr="00EC5432" w:rsidRDefault="000D089E" w:rsidP="000D089E">
            <w:pPr>
              <w:pStyle w:val="AODocTxt"/>
            </w:pPr>
            <w:r w:rsidRPr="005E0E5E">
              <w:t>ING</w:t>
            </w:r>
            <w:r>
              <w:t xml:space="preserve"> </w:t>
            </w:r>
            <w:r w:rsidRPr="00EC5432">
              <w:t xml:space="preserve">as agent under the 2024 Maintenance Reserve Facility Agreement, or any successor, assignee or entity holding such position from time to time, shall be referred to as the </w:t>
            </w:r>
            <w:r w:rsidRPr="00EC5432">
              <w:rPr>
                <w:b/>
              </w:rPr>
              <w:t xml:space="preserve">2024 </w:t>
            </w:r>
            <w:r>
              <w:rPr>
                <w:b/>
              </w:rPr>
              <w:t>MRF</w:t>
            </w:r>
            <w:r w:rsidRPr="00EC5432">
              <w:rPr>
                <w:b/>
              </w:rPr>
              <w:t xml:space="preserve"> Agent</w:t>
            </w:r>
            <w:r w:rsidRPr="00EC5432">
              <w:t>.</w:t>
            </w:r>
          </w:p>
        </w:tc>
      </w:tr>
      <w:tr w:rsidR="000D089E" w:rsidRPr="00901F23" w14:paraId="4FBFDEE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CF33C62" w14:textId="7E81FAC9" w:rsidR="000D089E" w:rsidRDefault="00605946" w:rsidP="000D089E">
            <w:pPr>
              <w:pStyle w:val="AODocTxt"/>
              <w:rPr>
                <w:lang w:val="es-ES"/>
              </w:rPr>
            </w:pPr>
            <w:r>
              <w:rPr>
                <w:lang w:val="es-ES"/>
              </w:rPr>
              <w:t>ING</w:t>
            </w:r>
            <w:r w:rsidRPr="00EC5432">
              <w:rPr>
                <w:lang w:val="es-ES"/>
              </w:rPr>
              <w:t xml:space="preserve"> </w:t>
            </w:r>
            <w:r w:rsidR="000D089E" w:rsidRPr="00EC5432">
              <w:rPr>
                <w:lang w:val="es-ES"/>
              </w:rPr>
              <w:t>en su condición de agente de la financiación (</w:t>
            </w:r>
            <w:proofErr w:type="spellStart"/>
            <w:r w:rsidR="000D089E" w:rsidRPr="00EC5432">
              <w:rPr>
                <w:i/>
                <w:lang w:val="es-ES"/>
              </w:rPr>
              <w:t>Agent</w:t>
            </w:r>
            <w:proofErr w:type="spellEnd"/>
            <w:r w:rsidR="000D089E" w:rsidRPr="00EC5432">
              <w:rPr>
                <w:lang w:val="es-ES"/>
              </w:rPr>
              <w:t xml:space="preserve">) bajo el </w:t>
            </w:r>
            <w:r w:rsidR="000D089E">
              <w:rPr>
                <w:lang w:val="es-ES"/>
              </w:rPr>
              <w:t>Contrato de Crédito Autorizado 2025</w:t>
            </w:r>
            <w:r w:rsidR="000D089E" w:rsidRPr="00BB0700">
              <w:rPr>
                <w:lang w:val="es-ES"/>
              </w:rPr>
              <w:t xml:space="preserve"> </w:t>
            </w:r>
            <w:r w:rsidR="000D089E" w:rsidRPr="00EC5432">
              <w:rPr>
                <w:lang w:val="es-ES"/>
              </w:rPr>
              <w:t>(</w:t>
            </w:r>
            <w:r w:rsidR="000D089E" w:rsidRPr="00EC5432">
              <w:rPr>
                <w:i/>
                <w:iCs/>
                <w:lang w:val="es-ES"/>
              </w:rPr>
              <w:t>202</w:t>
            </w:r>
            <w:r w:rsidR="000D089E">
              <w:rPr>
                <w:i/>
                <w:iCs/>
                <w:lang w:val="es-ES"/>
              </w:rPr>
              <w:t>5</w:t>
            </w:r>
            <w:r w:rsidR="000D089E" w:rsidRPr="00EC5432">
              <w:rPr>
                <w:i/>
                <w:iCs/>
                <w:lang w:val="es-ES"/>
              </w:rPr>
              <w:t xml:space="preserve"> </w:t>
            </w:r>
            <w:proofErr w:type="spellStart"/>
            <w:r w:rsidR="000D089E" w:rsidRPr="00EC5432">
              <w:rPr>
                <w:i/>
                <w:iCs/>
                <w:lang w:val="es-ES"/>
              </w:rPr>
              <w:t>Authorised</w:t>
            </w:r>
            <w:proofErr w:type="spellEnd"/>
            <w:r w:rsidR="000D089E" w:rsidRPr="00EC5432">
              <w:rPr>
                <w:i/>
                <w:iCs/>
                <w:lang w:val="es-ES"/>
              </w:rPr>
              <w:t xml:space="preserve"> </w:t>
            </w:r>
            <w:proofErr w:type="spellStart"/>
            <w:r w:rsidR="000D089E" w:rsidRPr="00EC5432">
              <w:rPr>
                <w:i/>
                <w:iCs/>
                <w:lang w:val="es-ES"/>
              </w:rPr>
              <w:t>Credit</w:t>
            </w:r>
            <w:proofErr w:type="spellEnd"/>
            <w:r w:rsidR="000D089E" w:rsidRPr="00EC5432">
              <w:rPr>
                <w:i/>
                <w:iCs/>
                <w:lang w:val="es-ES"/>
              </w:rPr>
              <w:t xml:space="preserve"> Facilities</w:t>
            </w:r>
            <w:r w:rsidR="000D089E" w:rsidRPr="00EC5432">
              <w:rPr>
                <w:i/>
                <w:lang w:val="es-ES" w:eastAsia="en-GB" w:bidi="en-GB"/>
              </w:rPr>
              <w:t xml:space="preserve"> </w:t>
            </w:r>
            <w:proofErr w:type="spellStart"/>
            <w:r w:rsidR="000D089E" w:rsidRPr="00EC5432">
              <w:rPr>
                <w:i/>
                <w:lang w:val="es-ES" w:eastAsia="en-GB" w:bidi="en-GB"/>
              </w:rPr>
              <w:t>Agreement</w:t>
            </w:r>
            <w:proofErr w:type="spellEnd"/>
            <w:r w:rsidR="000D089E" w:rsidRPr="00EC5432">
              <w:rPr>
                <w:lang w:val="es-ES" w:eastAsia="en-GB" w:bidi="en-GB"/>
              </w:rPr>
              <w:t>)</w:t>
            </w:r>
            <w:r w:rsidR="000D089E" w:rsidRPr="00EC5432">
              <w:rPr>
                <w:lang w:val="es-ES"/>
              </w:rPr>
              <w:t xml:space="preserve">, o cualquier sucesor, cesionario o entidad que ostente en cada momento tal condición, será referida como el </w:t>
            </w:r>
            <w:r w:rsidR="000D089E" w:rsidRPr="00EC5432">
              <w:rPr>
                <w:b/>
                <w:lang w:val="es-ES"/>
              </w:rPr>
              <w:t>Agente ACF 202</w:t>
            </w:r>
            <w:r w:rsidR="000D089E">
              <w:rPr>
                <w:b/>
                <w:lang w:val="es-ES"/>
              </w:rPr>
              <w:t>5</w:t>
            </w:r>
            <w:r w:rsidR="000D089E" w:rsidRPr="00EC5432">
              <w:rPr>
                <w:lang w:val="es-ES"/>
              </w:rPr>
              <w:t>.</w:t>
            </w:r>
          </w:p>
        </w:tc>
        <w:tc>
          <w:tcPr>
            <w:tcW w:w="2500" w:type="pct"/>
            <w:shd w:val="clear" w:color="auto" w:fill="auto"/>
          </w:tcPr>
          <w:p w14:paraId="2A606999" w14:textId="754CAF1B" w:rsidR="000D089E" w:rsidRPr="005E0E5E" w:rsidRDefault="00605946" w:rsidP="000D089E">
            <w:pPr>
              <w:pStyle w:val="AODocTxt"/>
            </w:pPr>
            <w:r w:rsidRPr="005C1C26">
              <w:t xml:space="preserve">ING </w:t>
            </w:r>
            <w:r w:rsidR="000D089E" w:rsidRPr="00EC5432">
              <w:t xml:space="preserve">as agent under the </w:t>
            </w:r>
            <w:r w:rsidR="000D089E">
              <w:t>2025</w:t>
            </w:r>
            <w:r w:rsidR="000D089E" w:rsidRPr="00EC5432">
              <w:t xml:space="preserve"> Authorised Credit Facilities</w:t>
            </w:r>
            <w:r w:rsidR="000D089E" w:rsidRPr="00EC5432">
              <w:rPr>
                <w:lang w:eastAsia="en-GB" w:bidi="en-GB"/>
              </w:rPr>
              <w:t xml:space="preserve"> Agreement</w:t>
            </w:r>
            <w:r w:rsidR="000D089E" w:rsidRPr="00EC5432">
              <w:t xml:space="preserve">, or any successor, assignee or entity holding such position from time to time, shall be referred to as the </w:t>
            </w:r>
            <w:r w:rsidR="000D089E" w:rsidRPr="00EC5432">
              <w:rPr>
                <w:b/>
              </w:rPr>
              <w:t>202</w:t>
            </w:r>
            <w:r w:rsidR="000D089E">
              <w:rPr>
                <w:b/>
              </w:rPr>
              <w:t>5</w:t>
            </w:r>
            <w:r w:rsidR="000D089E" w:rsidRPr="00EC5432">
              <w:rPr>
                <w:b/>
              </w:rPr>
              <w:t xml:space="preserve"> ACF Agent</w:t>
            </w:r>
            <w:r w:rsidR="000D089E" w:rsidRPr="00EC5432">
              <w:t>.</w:t>
            </w:r>
          </w:p>
        </w:tc>
      </w:tr>
      <w:tr w:rsidR="000D089E" w:rsidRPr="00D01D1D" w14:paraId="307F215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AB8CC18" w14:textId="55B1098F" w:rsidR="000D089E" w:rsidRPr="005465BE" w:rsidRDefault="000D089E" w:rsidP="000D089E">
            <w:pPr>
              <w:pStyle w:val="AODocTxt"/>
              <w:rPr>
                <w:lang w:val="es-ES"/>
              </w:rPr>
            </w:pPr>
            <w:r w:rsidRPr="00D01D1D">
              <w:rPr>
                <w:lang w:val="es-ES"/>
              </w:rPr>
              <w:t xml:space="preserve">En adelante, el </w:t>
            </w:r>
            <w:r w:rsidRPr="00427209">
              <w:rPr>
                <w:lang w:val="es-ES"/>
              </w:rPr>
              <w:t>Representante del Contrato de Compra de Instrumentos de Deuda</w:t>
            </w:r>
            <w:r w:rsidRPr="00427209">
              <w:rPr>
                <w:i/>
                <w:lang w:val="es-ES"/>
              </w:rPr>
              <w:t xml:space="preserve"> </w:t>
            </w:r>
            <w:r w:rsidRPr="00427209">
              <w:rPr>
                <w:lang w:val="es-ES"/>
              </w:rPr>
              <w:t>PP, el Agente IBFA, el Agente</w:t>
            </w:r>
            <w:r>
              <w:rPr>
                <w:lang w:val="es-ES"/>
              </w:rPr>
              <w:t xml:space="preserve"> IFA, el Agente NPA, el </w:t>
            </w:r>
            <w:r w:rsidRPr="00D01D1D">
              <w:rPr>
                <w:lang w:val="es-ES"/>
              </w:rPr>
              <w:t xml:space="preserve">Agente </w:t>
            </w:r>
            <w:r>
              <w:rPr>
                <w:lang w:val="es-ES"/>
              </w:rPr>
              <w:t>Inicial ACF</w:t>
            </w:r>
            <w:r w:rsidRPr="00D01D1D">
              <w:rPr>
                <w:lang w:val="es-ES"/>
              </w:rPr>
              <w:t xml:space="preserve">, el Agente </w:t>
            </w:r>
            <w:r>
              <w:rPr>
                <w:lang w:val="es-ES"/>
              </w:rPr>
              <w:t xml:space="preserve">Inicial MRF, el Agente Inicial LF, el </w:t>
            </w:r>
            <w:r w:rsidRPr="006B5506">
              <w:rPr>
                <w:lang w:val="es-ES"/>
              </w:rPr>
              <w:t>Representante del Contrato de Compra de Instrumentos de deuda PP 2022</w:t>
            </w:r>
            <w:r>
              <w:rPr>
                <w:lang w:val="es-ES"/>
              </w:rPr>
              <w:t xml:space="preserve">, </w:t>
            </w:r>
            <w:r w:rsidR="0006262F" w:rsidRPr="0006262F">
              <w:rPr>
                <w:lang w:val="es-ES"/>
              </w:rPr>
              <w:t xml:space="preserve">Representante del Contrato de Compra de Instrumentos de Deuda PP 2025, </w:t>
            </w:r>
            <w:r>
              <w:rPr>
                <w:lang w:val="es-ES"/>
              </w:rPr>
              <w:t xml:space="preserve">el Agente LF, el Agente ACF 2024, el Agente MRF 2024 y el Agente ACF 2025 </w:t>
            </w:r>
            <w:r w:rsidRPr="00D01D1D">
              <w:rPr>
                <w:lang w:val="es-ES"/>
              </w:rPr>
              <w:t xml:space="preserve">junto con cualquier </w:t>
            </w:r>
            <w:r>
              <w:rPr>
                <w:lang w:val="es-ES"/>
              </w:rPr>
              <w:t xml:space="preserve">sucesor, cesionario o </w:t>
            </w:r>
            <w:r w:rsidRPr="00E53971">
              <w:rPr>
                <w:lang w:val="es-ES"/>
              </w:rPr>
              <w:t>entidad</w:t>
            </w:r>
            <w:r w:rsidRPr="00D01D1D">
              <w:rPr>
                <w:lang w:val="es-ES"/>
              </w:rPr>
              <w:t xml:space="preserve"> que ostente en cada momento </w:t>
            </w:r>
            <w:r>
              <w:rPr>
                <w:lang w:val="es-ES"/>
              </w:rPr>
              <w:t>tal condición</w:t>
            </w:r>
            <w:r w:rsidRPr="00D01D1D">
              <w:rPr>
                <w:lang w:val="es-ES"/>
              </w:rPr>
              <w:t xml:space="preserve">, se denominarán </w:t>
            </w:r>
            <w:r w:rsidRPr="00D01D1D">
              <w:rPr>
                <w:lang w:val="es-ES"/>
              </w:rPr>
              <w:lastRenderedPageBreak/>
              <w:t xml:space="preserve">conjuntamente los </w:t>
            </w:r>
            <w:r w:rsidRPr="00D01D1D">
              <w:rPr>
                <w:b/>
                <w:lang w:val="es-ES"/>
              </w:rPr>
              <w:t>Agentes de las Financiaciones</w:t>
            </w:r>
            <w:r w:rsidRPr="00D01D1D">
              <w:rPr>
                <w:lang w:val="es-ES"/>
              </w:rPr>
              <w:t xml:space="preserve"> y cada uno de ellos un </w:t>
            </w:r>
            <w:r w:rsidRPr="00D01D1D">
              <w:rPr>
                <w:b/>
                <w:lang w:val="es-ES"/>
              </w:rPr>
              <w:t>Agente de la Financiación</w:t>
            </w:r>
            <w:r w:rsidRPr="00D01D1D">
              <w:rPr>
                <w:lang w:val="es-ES"/>
              </w:rPr>
              <w:t>.</w:t>
            </w:r>
            <w:r>
              <w:rPr>
                <w:lang w:val="es-ES"/>
              </w:rPr>
              <w:t xml:space="preserve"> </w:t>
            </w:r>
          </w:p>
        </w:tc>
        <w:tc>
          <w:tcPr>
            <w:tcW w:w="2500" w:type="pct"/>
            <w:shd w:val="clear" w:color="auto" w:fill="auto"/>
          </w:tcPr>
          <w:p w14:paraId="2E7A9A53" w14:textId="3298E1B0" w:rsidR="000D089E" w:rsidRPr="00D01D1D" w:rsidRDefault="000D089E" w:rsidP="000D089E">
            <w:pPr>
              <w:pStyle w:val="AODocTxt"/>
            </w:pPr>
            <w:r w:rsidRPr="00D01D1D">
              <w:lastRenderedPageBreak/>
              <w:t xml:space="preserve">Hereinafter, the </w:t>
            </w:r>
            <w:r>
              <w:t xml:space="preserve">PP </w:t>
            </w:r>
            <w:r w:rsidRPr="00812D1B">
              <w:rPr>
                <w:lang w:eastAsia="en-GB" w:bidi="en-GB"/>
              </w:rPr>
              <w:t>Creditor Secured Creditor Representative</w:t>
            </w:r>
            <w:r w:rsidRPr="00D01D1D">
              <w:t xml:space="preserve">, </w:t>
            </w:r>
            <w:r>
              <w:t xml:space="preserve">the IBFA Agent, the IFA Agent, the NPA Agent, the Initial ACF Agent, the Initial MRF Agent, the Initial LF Agent, the </w:t>
            </w:r>
            <w:r w:rsidRPr="006B5506">
              <w:rPr>
                <w:lang w:eastAsia="en-GB" w:bidi="en-GB"/>
              </w:rPr>
              <w:t>PP Creditor Secured Creditor Representative 2022</w:t>
            </w:r>
            <w:r>
              <w:rPr>
                <w:lang w:eastAsia="en-GB" w:bidi="en-GB"/>
              </w:rPr>
              <w:t xml:space="preserve">, </w:t>
            </w:r>
            <w:r w:rsidR="0006262F" w:rsidRPr="0006262F">
              <w:rPr>
                <w:lang w:eastAsia="en-GB" w:bidi="en-GB"/>
              </w:rPr>
              <w:t>PP Creditor Secured Creditor Representative 2025</w:t>
            </w:r>
            <w:r w:rsidR="0006262F">
              <w:rPr>
                <w:lang w:eastAsia="en-GB" w:bidi="en-GB"/>
              </w:rPr>
              <w:t xml:space="preserve">, </w:t>
            </w:r>
            <w:r>
              <w:rPr>
                <w:lang w:eastAsia="en-GB" w:bidi="en-GB"/>
              </w:rPr>
              <w:t>the LF Agent</w:t>
            </w:r>
            <w:r>
              <w:t>, the 2024 ACF Agent, the 2024 MRF Agent and the 2025 ACF Agent,</w:t>
            </w:r>
            <w:r w:rsidRPr="00D01D1D">
              <w:t xml:space="preserve"> together with any </w:t>
            </w:r>
            <w:r w:rsidRPr="00642736">
              <w:t>successor, assignee or entity</w:t>
            </w:r>
            <w:r w:rsidRPr="00D01D1D">
              <w:t xml:space="preserve"> that </w:t>
            </w:r>
            <w:r>
              <w:t>holds such condition in each moment,</w:t>
            </w:r>
            <w:r w:rsidRPr="00D01D1D">
              <w:t xml:space="preserve"> shall be jointly referred to as the </w:t>
            </w:r>
            <w:r w:rsidRPr="00D01D1D">
              <w:rPr>
                <w:b/>
              </w:rPr>
              <w:t>Facility</w:t>
            </w:r>
            <w:r w:rsidRPr="00D01D1D">
              <w:t xml:space="preserve"> </w:t>
            </w:r>
            <w:r w:rsidRPr="00D01D1D">
              <w:rPr>
                <w:b/>
              </w:rPr>
              <w:t>Agents</w:t>
            </w:r>
            <w:r w:rsidRPr="00D01D1D">
              <w:t xml:space="preserve"> and each of them as a </w:t>
            </w:r>
            <w:r w:rsidRPr="00D01D1D">
              <w:rPr>
                <w:b/>
              </w:rPr>
              <w:t>Facility</w:t>
            </w:r>
            <w:r w:rsidRPr="00D01D1D">
              <w:t xml:space="preserve"> </w:t>
            </w:r>
            <w:r w:rsidRPr="00D01D1D">
              <w:rPr>
                <w:b/>
              </w:rPr>
              <w:t>Agent</w:t>
            </w:r>
            <w:r w:rsidRPr="00D01D1D">
              <w:t>.</w:t>
            </w:r>
            <w:r w:rsidRPr="00EC5432">
              <w:rPr>
                <w:b/>
                <w:i/>
              </w:rPr>
              <w:t xml:space="preserve"> </w:t>
            </w:r>
          </w:p>
        </w:tc>
      </w:tr>
      <w:tr w:rsidR="000D089E" w:rsidRPr="00CA510A" w14:paraId="73C24F6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82DFEFD" w14:textId="5602285A" w:rsidR="000D089E" w:rsidRPr="005465BE" w:rsidRDefault="000D089E" w:rsidP="000D089E">
            <w:pPr>
              <w:pStyle w:val="AODocTxt"/>
              <w:rPr>
                <w:lang w:val="es-ES"/>
              </w:rPr>
            </w:pPr>
            <w:r>
              <w:rPr>
                <w:lang w:val="es-ES"/>
              </w:rPr>
              <w:t>ING</w:t>
            </w:r>
            <w:r w:rsidRPr="00C70D98">
              <w:rPr>
                <w:lang w:val="es-ES"/>
              </w:rPr>
              <w:t xml:space="preserve"> interviene en este acto en su propio nombre y derecho en su condición de Agente de Garantías</w:t>
            </w:r>
            <w:r>
              <w:rPr>
                <w:lang w:val="es-ES"/>
              </w:rPr>
              <w:t xml:space="preserve"> (</w:t>
            </w:r>
            <w:r w:rsidRPr="00C35FB9">
              <w:rPr>
                <w:i/>
                <w:lang w:val="es-ES"/>
              </w:rPr>
              <w:t>Security Trustee</w:t>
            </w:r>
            <w:r>
              <w:rPr>
                <w:lang w:val="es-ES"/>
              </w:rPr>
              <w:t xml:space="preserve">), </w:t>
            </w:r>
            <w:r w:rsidRPr="00D01D1D">
              <w:rPr>
                <w:lang w:val="es-ES"/>
              </w:rPr>
              <w:t xml:space="preserve">Agente </w:t>
            </w:r>
            <w:r>
              <w:rPr>
                <w:lang w:val="es-ES"/>
              </w:rPr>
              <w:t>Inicial ACF</w:t>
            </w:r>
            <w:r w:rsidRPr="00D01D1D">
              <w:rPr>
                <w:lang w:val="es-ES"/>
              </w:rPr>
              <w:t xml:space="preserve">, Agente </w:t>
            </w:r>
            <w:r>
              <w:rPr>
                <w:lang w:val="es-ES"/>
              </w:rPr>
              <w:t>Inicial MRF, Agente Inicial LF, el Agente LF, Agente ACF 2024, el Agente MRF 2024 y el Agente ACF 2025.</w:t>
            </w:r>
          </w:p>
        </w:tc>
        <w:tc>
          <w:tcPr>
            <w:tcW w:w="2500" w:type="pct"/>
            <w:shd w:val="clear" w:color="auto" w:fill="auto"/>
          </w:tcPr>
          <w:p w14:paraId="379BEC3A" w14:textId="3FEDFB1E" w:rsidR="000D089E" w:rsidRPr="00CA510A" w:rsidRDefault="000D089E" w:rsidP="000D089E">
            <w:pPr>
              <w:pStyle w:val="AODocTxt"/>
              <w:rPr>
                <w:b/>
              </w:rPr>
            </w:pPr>
            <w:r>
              <w:t>ING</w:t>
            </w:r>
            <w:r w:rsidRPr="00C70D98">
              <w:t xml:space="preserve"> hereby acts in its own name and on its own behalf as </w:t>
            </w:r>
            <w:r>
              <w:t>Security Trustee, Initial ACF Agent, Initial MRF Agent, Initial LF Agent, the LF Agent, 2024 ACF Agent, the 2024 MRF Agent</w:t>
            </w:r>
            <w:r>
              <w:rPr>
                <w:b/>
                <w:iCs/>
              </w:rPr>
              <w:t xml:space="preserve"> </w:t>
            </w:r>
            <w:r w:rsidRPr="00316E16">
              <w:rPr>
                <w:bCs/>
                <w:iCs/>
              </w:rPr>
              <w:t>and</w:t>
            </w:r>
            <w:r>
              <w:rPr>
                <w:b/>
                <w:iCs/>
              </w:rPr>
              <w:t xml:space="preserve"> </w:t>
            </w:r>
            <w:r>
              <w:t>the 2025 ACF Agent.</w:t>
            </w:r>
          </w:p>
        </w:tc>
      </w:tr>
      <w:tr w:rsidR="000D089E" w:rsidRPr="00192195" w14:paraId="331BECF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06BFBB5" w14:textId="77777777" w:rsidR="000D089E" w:rsidRPr="00192195" w:rsidRDefault="000D089E" w:rsidP="000D089E">
            <w:pPr>
              <w:pStyle w:val="AODocTxt"/>
              <w:rPr>
                <w:lang w:val="es-ES"/>
              </w:rPr>
            </w:pPr>
            <w:r w:rsidRPr="00192195">
              <w:rPr>
                <w:lang w:val="es-ES"/>
              </w:rPr>
              <w:t xml:space="preserve">Asimismo, </w:t>
            </w:r>
            <w:r>
              <w:rPr>
                <w:lang w:val="es-ES"/>
              </w:rPr>
              <w:t>ING</w:t>
            </w:r>
            <w:r w:rsidRPr="00192195">
              <w:rPr>
                <w:lang w:val="es-ES"/>
              </w:rPr>
              <w:t xml:space="preserve">, en su condición de Agente de Garantías </w:t>
            </w:r>
            <w:r>
              <w:rPr>
                <w:lang w:val="es-ES"/>
              </w:rPr>
              <w:t>(</w:t>
            </w:r>
            <w:r w:rsidRPr="0076706A">
              <w:rPr>
                <w:i/>
                <w:lang w:val="es-ES"/>
              </w:rPr>
              <w:t>Security Trustee</w:t>
            </w:r>
            <w:r>
              <w:rPr>
                <w:lang w:val="es-ES"/>
              </w:rPr>
              <w:t xml:space="preserve">) </w:t>
            </w:r>
            <w:r w:rsidRPr="00192195">
              <w:rPr>
                <w:lang w:val="es-ES"/>
              </w:rPr>
              <w:t xml:space="preserve">interviene en este acto </w:t>
            </w:r>
            <w:r w:rsidRPr="00192195">
              <w:rPr>
                <w:noProof/>
                <w:lang w:val="es-ES"/>
              </w:rPr>
              <w:t>en nombre y representación de aquellas entidades que en cada momento tengan la consideración de partes garantizadas (</w:t>
            </w:r>
            <w:r w:rsidRPr="00192195">
              <w:rPr>
                <w:i/>
                <w:noProof/>
                <w:lang w:val="es-ES"/>
              </w:rPr>
              <w:t xml:space="preserve">Secured </w:t>
            </w:r>
            <w:r>
              <w:rPr>
                <w:i/>
                <w:noProof/>
                <w:lang w:val="es-ES"/>
              </w:rPr>
              <w:t>Creditors</w:t>
            </w:r>
            <w:r w:rsidRPr="00192195">
              <w:rPr>
                <w:noProof/>
                <w:lang w:val="es-ES"/>
              </w:rPr>
              <w:t xml:space="preserve">) bajo el Contrato entre Acreedores </w:t>
            </w:r>
            <w:r w:rsidRPr="00E53971">
              <w:rPr>
                <w:lang w:val="es-ES"/>
              </w:rPr>
              <w:t>(tal y como este término se define a continuación)</w:t>
            </w:r>
            <w:r>
              <w:rPr>
                <w:lang w:val="es-ES"/>
              </w:rPr>
              <w:t xml:space="preserve"> </w:t>
            </w:r>
            <w:r w:rsidRPr="00192195">
              <w:rPr>
                <w:noProof/>
                <w:lang w:val="es-ES"/>
              </w:rPr>
              <w:t xml:space="preserve">en virtud del apoderamiento conferido en la Cláusula </w:t>
            </w:r>
            <w:r>
              <w:rPr>
                <w:noProof/>
                <w:lang w:val="es-ES"/>
              </w:rPr>
              <w:t>10.3</w:t>
            </w:r>
            <w:r w:rsidRPr="00192195">
              <w:rPr>
                <w:noProof/>
                <w:lang w:val="es-ES"/>
              </w:rPr>
              <w:t xml:space="preserve"> del Contrato entre Acreedores </w:t>
            </w:r>
            <w:r w:rsidRPr="00E53971">
              <w:rPr>
                <w:lang w:val="es-ES"/>
              </w:rPr>
              <w:t>(tal y como este término se define a continuación)</w:t>
            </w:r>
            <w:r>
              <w:rPr>
                <w:lang w:val="es-ES"/>
              </w:rPr>
              <w:t xml:space="preserve"> </w:t>
            </w:r>
            <w:r w:rsidRPr="00192195">
              <w:rPr>
                <w:noProof/>
                <w:lang w:val="es-ES"/>
              </w:rPr>
              <w:t>y, en particular pero sin limitación, en nombre y representación de las siguientes entidades:</w:t>
            </w:r>
          </w:p>
        </w:tc>
        <w:tc>
          <w:tcPr>
            <w:tcW w:w="2500" w:type="pct"/>
            <w:shd w:val="clear" w:color="auto" w:fill="auto"/>
          </w:tcPr>
          <w:p w14:paraId="49A3FC89" w14:textId="77777777" w:rsidR="000D089E" w:rsidRPr="00192195" w:rsidRDefault="000D089E" w:rsidP="000D089E">
            <w:pPr>
              <w:pStyle w:val="AODocTxt"/>
            </w:pPr>
            <w:r w:rsidRPr="00192195">
              <w:t xml:space="preserve">In addition, </w:t>
            </w:r>
            <w:r>
              <w:t>ING</w:t>
            </w:r>
            <w:r w:rsidRPr="00192195">
              <w:t xml:space="preserve">, in its condition as Security </w:t>
            </w:r>
            <w:r>
              <w:t>Trustee</w:t>
            </w:r>
            <w:r w:rsidRPr="00192195">
              <w:t xml:space="preserve"> hereby acts in the name and on behalf of the entities that from time to time shall be considered as Secured </w:t>
            </w:r>
            <w:r>
              <w:t>Creditors</w:t>
            </w:r>
            <w:r w:rsidRPr="00192195">
              <w:t xml:space="preserve"> under the </w:t>
            </w:r>
            <w:r>
              <w:t>STID (as this term is defined below)</w:t>
            </w:r>
            <w:r w:rsidRPr="00192195">
              <w:t xml:space="preserve"> by virtue of the powers granted in Clause </w:t>
            </w:r>
            <w:r>
              <w:t>10.3</w:t>
            </w:r>
            <w:r w:rsidRPr="00192195">
              <w:t xml:space="preserve"> of the </w:t>
            </w:r>
            <w:r>
              <w:t>STID (as this term is defined below)</w:t>
            </w:r>
            <w:r w:rsidRPr="00192195">
              <w:t>, and, in particular but without limitation, in name and on behalf of the following entities:</w:t>
            </w:r>
          </w:p>
        </w:tc>
      </w:tr>
      <w:tr w:rsidR="000D089E" w:rsidRPr="00736F7D" w14:paraId="1955371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15D77F9" w14:textId="77777777" w:rsidR="000D089E" w:rsidRPr="00E53971" w:rsidRDefault="000D089E" w:rsidP="000D089E">
            <w:pPr>
              <w:pStyle w:val="AOHead3"/>
              <w:tabs>
                <w:tab w:val="clear" w:pos="1440"/>
                <w:tab w:val="num" w:pos="735"/>
              </w:tabs>
              <w:ind w:hanging="1414"/>
              <w:rPr>
                <w:lang w:val="es-ES"/>
              </w:rPr>
            </w:pPr>
            <w:r>
              <w:rPr>
                <w:lang w:val="es-ES"/>
              </w:rPr>
              <w:t>las Entidades Financiadoras Iniciales ACF;</w:t>
            </w:r>
          </w:p>
        </w:tc>
        <w:tc>
          <w:tcPr>
            <w:tcW w:w="2500" w:type="pct"/>
            <w:shd w:val="clear" w:color="auto" w:fill="auto"/>
          </w:tcPr>
          <w:p w14:paraId="09D05B8F" w14:textId="77777777" w:rsidR="000D089E" w:rsidRPr="00736F7D" w:rsidRDefault="000D089E" w:rsidP="000D089E">
            <w:pPr>
              <w:pStyle w:val="AOGenNum1List"/>
            </w:pPr>
            <w:r w:rsidRPr="00736F7D">
              <w:t>the Initial ACF Lenders;</w:t>
            </w:r>
          </w:p>
        </w:tc>
      </w:tr>
      <w:tr w:rsidR="000D089E" w:rsidRPr="0047738D" w14:paraId="0E0B37E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52F6BC2" w14:textId="77777777" w:rsidR="000D089E" w:rsidRPr="0047738D" w:rsidRDefault="000D089E" w:rsidP="000D089E">
            <w:pPr>
              <w:pStyle w:val="AOAltHead3"/>
              <w:rPr>
                <w:lang w:val="es-ES"/>
              </w:rPr>
            </w:pPr>
            <w:r>
              <w:rPr>
                <w:lang w:val="es-ES"/>
              </w:rPr>
              <w:t>las Entidades Financiadoras Iniciales MRF;</w:t>
            </w:r>
          </w:p>
        </w:tc>
        <w:tc>
          <w:tcPr>
            <w:tcW w:w="2500" w:type="pct"/>
            <w:shd w:val="clear" w:color="auto" w:fill="auto"/>
          </w:tcPr>
          <w:p w14:paraId="3745DBBA" w14:textId="77777777" w:rsidR="000D089E" w:rsidRPr="0047738D" w:rsidRDefault="000D089E" w:rsidP="000D089E">
            <w:pPr>
              <w:pStyle w:val="AOGenNum1List"/>
            </w:pPr>
            <w:r w:rsidRPr="00736F7D">
              <w:t xml:space="preserve">the Initial </w:t>
            </w:r>
            <w:r>
              <w:t>MRF</w:t>
            </w:r>
            <w:r w:rsidRPr="00736F7D">
              <w:t xml:space="preserve"> Lenders;</w:t>
            </w:r>
          </w:p>
        </w:tc>
      </w:tr>
      <w:tr w:rsidR="000D089E" w:rsidRPr="0047738D" w14:paraId="31EDC10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F6D5244" w14:textId="77777777" w:rsidR="000D089E" w:rsidRPr="0047738D" w:rsidRDefault="000D089E" w:rsidP="000D089E">
            <w:pPr>
              <w:pStyle w:val="AOAltHead3"/>
              <w:rPr>
                <w:lang w:val="es-ES"/>
              </w:rPr>
            </w:pPr>
            <w:r>
              <w:rPr>
                <w:lang w:val="es-ES"/>
              </w:rPr>
              <w:t>las Entidades Financiadoras Iniciales LF;</w:t>
            </w:r>
          </w:p>
        </w:tc>
        <w:tc>
          <w:tcPr>
            <w:tcW w:w="2500" w:type="pct"/>
            <w:shd w:val="clear" w:color="auto" w:fill="auto"/>
          </w:tcPr>
          <w:p w14:paraId="7FF9EC5E" w14:textId="77777777" w:rsidR="000D089E" w:rsidRPr="0047738D" w:rsidRDefault="000D089E" w:rsidP="000D089E">
            <w:pPr>
              <w:pStyle w:val="AOGenNum1List"/>
            </w:pPr>
            <w:r w:rsidRPr="00736F7D">
              <w:t xml:space="preserve">the Initial </w:t>
            </w:r>
            <w:r>
              <w:t>LF</w:t>
            </w:r>
            <w:r w:rsidRPr="00736F7D">
              <w:t xml:space="preserve"> Lenders;</w:t>
            </w:r>
          </w:p>
        </w:tc>
      </w:tr>
      <w:tr w:rsidR="000D089E" w:rsidRPr="000A7C51" w14:paraId="3A7A488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913963F" w14:textId="77777777" w:rsidR="000D089E" w:rsidRPr="0047738D" w:rsidRDefault="000D089E" w:rsidP="000D089E">
            <w:pPr>
              <w:pStyle w:val="AOAltHead3"/>
              <w:rPr>
                <w:lang w:val="es-ES"/>
              </w:rPr>
            </w:pPr>
            <w:r w:rsidRPr="00736F7D">
              <w:rPr>
                <w:lang w:val="es-ES"/>
              </w:rPr>
              <w:t>las Entidades Financiadoras Originales IBFA</w:t>
            </w:r>
            <w:r>
              <w:rPr>
                <w:lang w:val="es-ES"/>
              </w:rPr>
              <w:t>;</w:t>
            </w:r>
          </w:p>
        </w:tc>
        <w:tc>
          <w:tcPr>
            <w:tcW w:w="2500" w:type="pct"/>
            <w:shd w:val="clear" w:color="auto" w:fill="auto"/>
          </w:tcPr>
          <w:p w14:paraId="4F779ACB" w14:textId="77777777" w:rsidR="000D089E" w:rsidRPr="000A7C51" w:rsidRDefault="000D089E" w:rsidP="000D089E">
            <w:pPr>
              <w:pStyle w:val="AOGenNum1List"/>
            </w:pPr>
            <w:r w:rsidRPr="00736F7D">
              <w:t xml:space="preserve">the </w:t>
            </w:r>
            <w:r>
              <w:t>Original IBFA Lenders</w:t>
            </w:r>
            <w:r w:rsidRPr="00736F7D">
              <w:t>;</w:t>
            </w:r>
          </w:p>
        </w:tc>
      </w:tr>
      <w:tr w:rsidR="000D089E" w:rsidRPr="00A870DD" w14:paraId="37FE4F5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03CE9F1" w14:textId="77777777" w:rsidR="000D089E" w:rsidRPr="00736F7D" w:rsidRDefault="000D089E" w:rsidP="000D089E">
            <w:pPr>
              <w:pStyle w:val="AOAltHead3"/>
              <w:rPr>
                <w:lang w:val="es-ES"/>
              </w:rPr>
            </w:pPr>
            <w:r w:rsidRPr="00736F7D">
              <w:rPr>
                <w:lang w:val="es-ES"/>
              </w:rPr>
              <w:t xml:space="preserve">las Entidades Financiadoras Originales </w:t>
            </w:r>
            <w:r>
              <w:rPr>
                <w:lang w:val="es-ES"/>
              </w:rPr>
              <w:t>I</w:t>
            </w:r>
            <w:r w:rsidRPr="00736F7D">
              <w:rPr>
                <w:lang w:val="es-ES"/>
              </w:rPr>
              <w:t>FA;</w:t>
            </w:r>
          </w:p>
        </w:tc>
        <w:tc>
          <w:tcPr>
            <w:tcW w:w="2500" w:type="pct"/>
            <w:shd w:val="clear" w:color="auto" w:fill="auto"/>
          </w:tcPr>
          <w:p w14:paraId="3BE76AF0" w14:textId="77777777" w:rsidR="000D089E" w:rsidRPr="00A870DD" w:rsidRDefault="000D089E" w:rsidP="000D089E">
            <w:pPr>
              <w:pStyle w:val="AOGenNum1List"/>
            </w:pPr>
            <w:r w:rsidRPr="00736F7D">
              <w:t xml:space="preserve">the </w:t>
            </w:r>
            <w:r>
              <w:t>Original IFA Lenders</w:t>
            </w:r>
            <w:r w:rsidRPr="00736F7D">
              <w:t>;</w:t>
            </w:r>
          </w:p>
        </w:tc>
      </w:tr>
      <w:tr w:rsidR="000D089E" w:rsidRPr="00736F7D" w14:paraId="74FB63C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23739F0" w14:textId="77777777" w:rsidR="000D089E" w:rsidRPr="00736F7D" w:rsidRDefault="000D089E" w:rsidP="000D089E">
            <w:pPr>
              <w:pStyle w:val="AOAltHead3"/>
              <w:rPr>
                <w:lang w:val="es-ES"/>
              </w:rPr>
            </w:pPr>
            <w:r>
              <w:rPr>
                <w:lang w:val="es-ES"/>
              </w:rPr>
              <w:t>las Compradoras Originales;</w:t>
            </w:r>
          </w:p>
        </w:tc>
        <w:tc>
          <w:tcPr>
            <w:tcW w:w="2500" w:type="pct"/>
            <w:shd w:val="clear" w:color="auto" w:fill="auto"/>
          </w:tcPr>
          <w:p w14:paraId="0BB68AE6" w14:textId="77777777" w:rsidR="000D089E" w:rsidRPr="00736F7D" w:rsidRDefault="000D089E" w:rsidP="000D089E">
            <w:pPr>
              <w:pStyle w:val="AOGenNum1List"/>
            </w:pPr>
            <w:r>
              <w:t>the Original Purchasers;</w:t>
            </w:r>
          </w:p>
        </w:tc>
      </w:tr>
      <w:tr w:rsidR="000D089E" w:rsidRPr="00736F7D" w14:paraId="3B80FA3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B30D643" w14:textId="77777777" w:rsidR="000D089E" w:rsidRDefault="000D089E" w:rsidP="000D089E">
            <w:pPr>
              <w:pStyle w:val="AOAltHead3"/>
              <w:rPr>
                <w:lang w:val="es-ES"/>
              </w:rPr>
            </w:pPr>
            <w:r>
              <w:rPr>
                <w:lang w:val="es-ES"/>
              </w:rPr>
              <w:t>las Compradoras de Bonos;</w:t>
            </w:r>
          </w:p>
        </w:tc>
        <w:tc>
          <w:tcPr>
            <w:tcW w:w="2500" w:type="pct"/>
            <w:shd w:val="clear" w:color="auto" w:fill="auto"/>
          </w:tcPr>
          <w:p w14:paraId="4B98AF11" w14:textId="77777777" w:rsidR="000D089E" w:rsidRDefault="000D089E" w:rsidP="000D089E">
            <w:pPr>
              <w:pStyle w:val="AOGenNum1List"/>
            </w:pPr>
            <w:r>
              <w:t>the Note Purchasers;</w:t>
            </w:r>
          </w:p>
        </w:tc>
      </w:tr>
      <w:tr w:rsidR="000D089E" w:rsidRPr="00736F7D" w14:paraId="654E3BE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E0BDE0E" w14:textId="77777777" w:rsidR="000D089E" w:rsidRDefault="000D089E" w:rsidP="000D089E">
            <w:pPr>
              <w:pStyle w:val="AOAltHead3"/>
              <w:rPr>
                <w:lang w:val="es-ES"/>
              </w:rPr>
            </w:pPr>
            <w:r>
              <w:rPr>
                <w:lang w:val="es-ES"/>
              </w:rPr>
              <w:t>las Nuevas Compradoras de Bonos;</w:t>
            </w:r>
          </w:p>
        </w:tc>
        <w:tc>
          <w:tcPr>
            <w:tcW w:w="2500" w:type="pct"/>
            <w:shd w:val="clear" w:color="auto" w:fill="auto"/>
          </w:tcPr>
          <w:p w14:paraId="0852A345" w14:textId="77777777" w:rsidR="000D089E" w:rsidRPr="0011474A" w:rsidRDefault="000D089E" w:rsidP="000D089E">
            <w:pPr>
              <w:pStyle w:val="AOGenNum1List"/>
              <w:rPr>
                <w:lang w:val="es-ES"/>
              </w:rPr>
            </w:pPr>
            <w:proofErr w:type="spellStart"/>
            <w:r>
              <w:rPr>
                <w:lang w:val="es-ES"/>
              </w:rPr>
              <w:t>the</w:t>
            </w:r>
            <w:proofErr w:type="spellEnd"/>
            <w:r>
              <w:rPr>
                <w:lang w:val="es-ES"/>
              </w:rPr>
              <w:t xml:space="preserve"> New Note </w:t>
            </w:r>
            <w:proofErr w:type="spellStart"/>
            <w:r>
              <w:rPr>
                <w:lang w:val="es-ES"/>
              </w:rPr>
              <w:t>Purchasers</w:t>
            </w:r>
            <w:proofErr w:type="spellEnd"/>
            <w:r>
              <w:rPr>
                <w:lang w:val="es-ES"/>
              </w:rPr>
              <w:t>;</w:t>
            </w:r>
          </w:p>
        </w:tc>
      </w:tr>
      <w:tr w:rsidR="000D089E" w:rsidRPr="00221CC9" w14:paraId="061E9C1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55DACDF" w14:textId="77777777" w:rsidR="000D089E" w:rsidRDefault="000D089E" w:rsidP="000D089E">
            <w:pPr>
              <w:pStyle w:val="AOAltHead3"/>
              <w:rPr>
                <w:lang w:val="es-ES"/>
              </w:rPr>
            </w:pPr>
            <w:r>
              <w:rPr>
                <w:lang w:val="es-ES"/>
              </w:rPr>
              <w:t>las Entidades Financiadoras LF 2023;</w:t>
            </w:r>
          </w:p>
        </w:tc>
        <w:tc>
          <w:tcPr>
            <w:tcW w:w="2500" w:type="pct"/>
            <w:shd w:val="clear" w:color="auto" w:fill="auto"/>
          </w:tcPr>
          <w:p w14:paraId="75BD9C35" w14:textId="77777777" w:rsidR="000D089E" w:rsidRDefault="000D089E" w:rsidP="000D089E">
            <w:pPr>
              <w:pStyle w:val="AOGenNum1List"/>
              <w:rPr>
                <w:lang w:val="es-ES"/>
              </w:rPr>
            </w:pPr>
            <w:proofErr w:type="spellStart"/>
            <w:r>
              <w:rPr>
                <w:lang w:val="es-ES"/>
              </w:rPr>
              <w:t>the</w:t>
            </w:r>
            <w:proofErr w:type="spellEnd"/>
            <w:r>
              <w:rPr>
                <w:lang w:val="es-ES"/>
              </w:rPr>
              <w:t xml:space="preserve"> LF </w:t>
            </w:r>
            <w:proofErr w:type="spellStart"/>
            <w:r>
              <w:rPr>
                <w:lang w:val="es-ES"/>
              </w:rPr>
              <w:t>Lenders</w:t>
            </w:r>
            <w:proofErr w:type="spellEnd"/>
            <w:r>
              <w:rPr>
                <w:lang w:val="es-ES"/>
              </w:rPr>
              <w:t xml:space="preserve"> 2023;</w:t>
            </w:r>
          </w:p>
        </w:tc>
      </w:tr>
      <w:tr w:rsidR="000D089E" w:rsidRPr="00221CC9" w14:paraId="4ACCF7D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97734AE" w14:textId="2964F53A" w:rsidR="000D089E" w:rsidRPr="00C76890" w:rsidRDefault="000D089E" w:rsidP="000D089E">
            <w:pPr>
              <w:pStyle w:val="AOAltHead3"/>
              <w:rPr>
                <w:lang w:val="es-ES"/>
              </w:rPr>
            </w:pPr>
            <w:r w:rsidRPr="00C76890">
              <w:rPr>
                <w:lang w:val="es-ES"/>
              </w:rPr>
              <w:t>las Entidades Financiadoras ACF 2024</w:t>
            </w:r>
            <w:r>
              <w:rPr>
                <w:lang w:val="es-ES"/>
              </w:rPr>
              <w:t>;</w:t>
            </w:r>
          </w:p>
        </w:tc>
        <w:tc>
          <w:tcPr>
            <w:tcW w:w="2500" w:type="pct"/>
            <w:shd w:val="clear" w:color="auto" w:fill="auto"/>
          </w:tcPr>
          <w:p w14:paraId="4D2CCD4E" w14:textId="758DBEE1" w:rsidR="000D089E" w:rsidRPr="00C76890" w:rsidRDefault="000D089E" w:rsidP="000D089E">
            <w:pPr>
              <w:pStyle w:val="AOGenNum1List"/>
              <w:rPr>
                <w:lang w:val="es-ES"/>
              </w:rPr>
            </w:pPr>
            <w:r w:rsidRPr="00C76890">
              <w:t>the ACF Lenders 2024;</w:t>
            </w:r>
          </w:p>
        </w:tc>
      </w:tr>
      <w:tr w:rsidR="000D089E" w:rsidRPr="00C76890" w14:paraId="0CC17AC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EBD24DD" w14:textId="0E59FD7B" w:rsidR="000D089E" w:rsidRPr="00C76890" w:rsidRDefault="000D089E" w:rsidP="000D089E">
            <w:pPr>
              <w:pStyle w:val="AOAltHead3"/>
              <w:rPr>
                <w:lang w:val="es-ES"/>
              </w:rPr>
            </w:pPr>
            <w:r w:rsidRPr="00C76890">
              <w:rPr>
                <w:lang w:val="es-ES"/>
              </w:rPr>
              <w:t xml:space="preserve">las Entidades Financiadoras </w:t>
            </w:r>
            <w:proofErr w:type="spellStart"/>
            <w:r w:rsidRPr="00C76890">
              <w:rPr>
                <w:lang w:val="es-ES"/>
              </w:rPr>
              <w:t>Revolving</w:t>
            </w:r>
            <w:proofErr w:type="spellEnd"/>
            <w:r w:rsidRPr="00C76890">
              <w:rPr>
                <w:lang w:val="es-ES"/>
              </w:rPr>
              <w:t xml:space="preserve"> MRF 2024;</w:t>
            </w:r>
          </w:p>
        </w:tc>
        <w:tc>
          <w:tcPr>
            <w:tcW w:w="2500" w:type="pct"/>
            <w:shd w:val="clear" w:color="auto" w:fill="auto"/>
          </w:tcPr>
          <w:p w14:paraId="793BF8B7" w14:textId="3CBD958B" w:rsidR="000D089E" w:rsidRPr="00C76890" w:rsidRDefault="000D089E" w:rsidP="000D089E">
            <w:pPr>
              <w:pStyle w:val="AOGenNum1List"/>
              <w:rPr>
                <w:lang w:val="es-ES"/>
              </w:rPr>
            </w:pPr>
            <w:r w:rsidRPr="00C76890">
              <w:t>the MRF Revolving Lenders 2024;</w:t>
            </w:r>
          </w:p>
        </w:tc>
      </w:tr>
      <w:tr w:rsidR="000D089E" w:rsidRPr="00C76890" w14:paraId="78A1D48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6C71280" w14:textId="0FCF7F60" w:rsidR="000D089E" w:rsidRPr="008E63F9" w:rsidRDefault="000D089E" w:rsidP="000D089E">
            <w:pPr>
              <w:pStyle w:val="AOAltHead3"/>
              <w:rPr>
                <w:bCs/>
                <w:lang w:val="es-ES"/>
              </w:rPr>
            </w:pPr>
            <w:r w:rsidRPr="00316E16">
              <w:rPr>
                <w:bCs/>
                <w:lang w:val="es-ES"/>
              </w:rPr>
              <w:t>las Entidades Financiadoras ACF 2025</w:t>
            </w:r>
            <w:r>
              <w:rPr>
                <w:bCs/>
                <w:lang w:val="es-ES"/>
              </w:rPr>
              <w:t>;</w:t>
            </w:r>
          </w:p>
        </w:tc>
        <w:tc>
          <w:tcPr>
            <w:tcW w:w="2500" w:type="pct"/>
            <w:shd w:val="clear" w:color="auto" w:fill="auto"/>
          </w:tcPr>
          <w:p w14:paraId="6E1D6468" w14:textId="658DCA08" w:rsidR="000D089E" w:rsidRPr="00C76890" w:rsidRDefault="000D089E" w:rsidP="000D089E">
            <w:pPr>
              <w:pStyle w:val="AOGenNum1List"/>
            </w:pPr>
            <w:r w:rsidRPr="00C76890">
              <w:t>the ACF Lenders 202</w:t>
            </w:r>
            <w:r>
              <w:t>5</w:t>
            </w:r>
            <w:r w:rsidRPr="00C76890">
              <w:t>;</w:t>
            </w:r>
          </w:p>
        </w:tc>
      </w:tr>
      <w:tr w:rsidR="000D089E" w:rsidRPr="00C76890" w14:paraId="1BC2827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1957D26" w14:textId="76D469DD" w:rsidR="000D089E" w:rsidRPr="00220A90" w:rsidRDefault="000D089E" w:rsidP="000D089E">
            <w:pPr>
              <w:pStyle w:val="AOAltHead3"/>
              <w:rPr>
                <w:bCs/>
                <w:lang w:val="es-ES"/>
              </w:rPr>
            </w:pPr>
            <w:r>
              <w:rPr>
                <w:bCs/>
                <w:lang w:val="es-ES"/>
              </w:rPr>
              <w:t xml:space="preserve">las </w:t>
            </w:r>
            <w:r w:rsidRPr="00316E16">
              <w:rPr>
                <w:bCs/>
                <w:lang w:val="es-ES"/>
              </w:rPr>
              <w:t>Nuevas</w:t>
            </w:r>
            <w:r w:rsidRPr="00220A90">
              <w:rPr>
                <w:bCs/>
                <w:lang w:val="es-ES"/>
              </w:rPr>
              <w:t xml:space="preserve"> </w:t>
            </w:r>
            <w:r w:rsidRPr="00316E16">
              <w:rPr>
                <w:bCs/>
                <w:lang w:val="es-ES"/>
              </w:rPr>
              <w:t>Compradoras de Bonos 2025;</w:t>
            </w:r>
          </w:p>
        </w:tc>
        <w:tc>
          <w:tcPr>
            <w:tcW w:w="2500" w:type="pct"/>
            <w:shd w:val="clear" w:color="auto" w:fill="auto"/>
          </w:tcPr>
          <w:p w14:paraId="2EEED733" w14:textId="455C8635" w:rsidR="000D089E" w:rsidRPr="00C76890" w:rsidRDefault="000D089E" w:rsidP="000D089E">
            <w:pPr>
              <w:pStyle w:val="AOGenNum1List"/>
            </w:pPr>
            <w:proofErr w:type="spellStart"/>
            <w:r>
              <w:rPr>
                <w:lang w:val="es-ES"/>
              </w:rPr>
              <w:t>the</w:t>
            </w:r>
            <w:proofErr w:type="spellEnd"/>
            <w:r>
              <w:rPr>
                <w:lang w:val="es-ES"/>
              </w:rPr>
              <w:t xml:space="preserve"> New Note </w:t>
            </w:r>
            <w:proofErr w:type="spellStart"/>
            <w:r>
              <w:rPr>
                <w:lang w:val="es-ES"/>
              </w:rPr>
              <w:t>Purchasers</w:t>
            </w:r>
            <w:proofErr w:type="spellEnd"/>
            <w:r>
              <w:rPr>
                <w:lang w:val="es-ES"/>
              </w:rPr>
              <w:t xml:space="preserve"> 2025;</w:t>
            </w:r>
          </w:p>
        </w:tc>
      </w:tr>
      <w:tr w:rsidR="000D089E" w:rsidRPr="00D25A5A" w14:paraId="56217D2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F57A594" w14:textId="1C98381C" w:rsidR="000D089E" w:rsidRPr="0047738D" w:rsidRDefault="000D089E" w:rsidP="000D089E">
            <w:pPr>
              <w:pStyle w:val="AOAltHead3"/>
              <w:rPr>
                <w:lang w:val="es-ES"/>
              </w:rPr>
            </w:pPr>
            <w:bookmarkStart w:id="45" w:name="_Ref68013380"/>
            <w:r>
              <w:rPr>
                <w:lang w:val="es-ES"/>
              </w:rPr>
              <w:t xml:space="preserve">las Entidades Financiadoras de </w:t>
            </w:r>
            <w:proofErr w:type="spellStart"/>
            <w:r>
              <w:rPr>
                <w:lang w:val="es-ES"/>
              </w:rPr>
              <w:t>Capex</w:t>
            </w:r>
            <w:proofErr w:type="spellEnd"/>
            <w:r>
              <w:rPr>
                <w:lang w:val="es-ES"/>
              </w:rPr>
              <w:t xml:space="preserve"> (</w:t>
            </w:r>
            <w:proofErr w:type="spellStart"/>
            <w:r w:rsidRPr="00D26EE3">
              <w:rPr>
                <w:i/>
                <w:lang w:val="es-ES"/>
              </w:rPr>
              <w:t>Capex</w:t>
            </w:r>
            <w:proofErr w:type="spellEnd"/>
            <w:r w:rsidRPr="00D26EE3">
              <w:rPr>
                <w:i/>
                <w:lang w:val="es-ES"/>
              </w:rPr>
              <w:t xml:space="preserve"> </w:t>
            </w:r>
            <w:proofErr w:type="spellStart"/>
            <w:r w:rsidRPr="00D26EE3">
              <w:rPr>
                <w:i/>
                <w:lang w:val="es-ES"/>
              </w:rPr>
              <w:t>Facility</w:t>
            </w:r>
            <w:proofErr w:type="spellEnd"/>
            <w:r w:rsidRPr="00D26EE3">
              <w:rPr>
                <w:i/>
                <w:spacing w:val="-4"/>
                <w:lang w:val="es-ES"/>
              </w:rPr>
              <w:t xml:space="preserve"> </w:t>
            </w:r>
            <w:proofErr w:type="spellStart"/>
            <w:r w:rsidRPr="00D26EE3">
              <w:rPr>
                <w:i/>
                <w:lang w:val="es-ES"/>
              </w:rPr>
              <w:t>Providers</w:t>
            </w:r>
            <w:proofErr w:type="spellEnd"/>
            <w:r>
              <w:rPr>
                <w:lang w:val="es-ES"/>
              </w:rPr>
              <w:t xml:space="preserve">) tal y como dicho término se encuentra definido en el MDA, junto con aquellas entidades que </w:t>
            </w:r>
            <w:r>
              <w:rPr>
                <w:lang w:val="es-ES"/>
              </w:rPr>
              <w:lastRenderedPageBreak/>
              <w:t xml:space="preserve">proporcionen a Beacon Finco,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financiaciones </w:t>
            </w:r>
            <w:proofErr w:type="spellStart"/>
            <w:r>
              <w:rPr>
                <w:lang w:val="es-ES"/>
              </w:rPr>
              <w:t>capex</w:t>
            </w:r>
            <w:proofErr w:type="spellEnd"/>
            <w:r>
              <w:rPr>
                <w:lang w:val="es-ES"/>
              </w:rPr>
              <w:t xml:space="preserve"> (</w:t>
            </w:r>
            <w:proofErr w:type="spellStart"/>
            <w:r w:rsidRPr="009D3538">
              <w:rPr>
                <w:i/>
                <w:lang w:val="es-ES"/>
              </w:rPr>
              <w:t>Capex</w:t>
            </w:r>
            <w:proofErr w:type="spellEnd"/>
            <w:r w:rsidRPr="009D3538">
              <w:rPr>
                <w:i/>
                <w:lang w:val="es-ES"/>
              </w:rPr>
              <w:t xml:space="preserve"> </w:t>
            </w:r>
            <w:proofErr w:type="spellStart"/>
            <w:r w:rsidRPr="009D3538">
              <w:rPr>
                <w:i/>
                <w:lang w:val="es-ES"/>
              </w:rPr>
              <w:t>Facility</w:t>
            </w:r>
            <w:proofErr w:type="spellEnd"/>
            <w:r>
              <w:rPr>
                <w:lang w:val="es-ES"/>
              </w:rPr>
              <w:t>) y que accedan al CTA, al MDA y al Contrato entre Acreedores (</w:t>
            </w:r>
            <w:proofErr w:type="spellStart"/>
            <w:r w:rsidRPr="00D26EE3">
              <w:rPr>
                <w:i/>
                <w:lang w:val="es-ES"/>
              </w:rPr>
              <w:t>Capex</w:t>
            </w:r>
            <w:proofErr w:type="spellEnd"/>
            <w:r w:rsidRPr="00D26EE3">
              <w:rPr>
                <w:i/>
                <w:lang w:val="es-ES"/>
              </w:rPr>
              <w:t xml:space="preserve"> </w:t>
            </w:r>
            <w:proofErr w:type="spellStart"/>
            <w:r w:rsidRPr="00D26EE3">
              <w:rPr>
                <w:i/>
                <w:lang w:val="es-ES"/>
              </w:rPr>
              <w:t>Facility</w:t>
            </w:r>
            <w:proofErr w:type="spellEnd"/>
            <w:r w:rsidRPr="00D26EE3">
              <w:rPr>
                <w:i/>
                <w:spacing w:val="-4"/>
                <w:lang w:val="es-ES"/>
              </w:rPr>
              <w:t xml:space="preserve"> </w:t>
            </w:r>
            <w:proofErr w:type="spellStart"/>
            <w:r w:rsidRPr="00D26EE3">
              <w:rPr>
                <w:i/>
                <w:lang w:val="es-ES"/>
              </w:rPr>
              <w:t>Providers</w:t>
            </w:r>
            <w:proofErr w:type="spellEnd"/>
            <w:r>
              <w:rPr>
                <w:lang w:val="es-ES"/>
              </w:rPr>
              <w:t xml:space="preserve">) (las </w:t>
            </w:r>
            <w:r w:rsidRPr="00291AFA">
              <w:rPr>
                <w:b/>
                <w:lang w:val="es-ES"/>
              </w:rPr>
              <w:t xml:space="preserve">Entidades Financiadoras de </w:t>
            </w:r>
            <w:proofErr w:type="spellStart"/>
            <w:r w:rsidRPr="00291AFA">
              <w:rPr>
                <w:b/>
                <w:lang w:val="es-ES"/>
              </w:rPr>
              <w:t>Capex</w:t>
            </w:r>
            <w:proofErr w:type="spellEnd"/>
            <w:r>
              <w:rPr>
                <w:lang w:val="es-ES"/>
              </w:rPr>
              <w:t>);</w:t>
            </w:r>
            <w:bookmarkEnd w:id="45"/>
          </w:p>
        </w:tc>
        <w:tc>
          <w:tcPr>
            <w:tcW w:w="2500" w:type="pct"/>
            <w:shd w:val="clear" w:color="auto" w:fill="auto"/>
          </w:tcPr>
          <w:p w14:paraId="4077FC93" w14:textId="77777777" w:rsidR="000D089E" w:rsidRPr="00D25A5A" w:rsidRDefault="000D089E" w:rsidP="000D089E">
            <w:pPr>
              <w:pStyle w:val="AOGenNum1List"/>
            </w:pPr>
            <w:bookmarkStart w:id="46" w:name="_Ref68013404"/>
            <w:r w:rsidRPr="00D25A5A">
              <w:lastRenderedPageBreak/>
              <w:t>Capex Facility</w:t>
            </w:r>
            <w:r w:rsidRPr="00D25A5A">
              <w:rPr>
                <w:spacing w:val="-4"/>
              </w:rPr>
              <w:t xml:space="preserve"> </w:t>
            </w:r>
            <w:r w:rsidRPr="00D25A5A">
              <w:t>Providers as this term is defined in the MDA,</w:t>
            </w:r>
            <w:r>
              <w:t xml:space="preserve"> tog</w:t>
            </w:r>
            <w:r w:rsidRPr="00D25A5A">
              <w:t xml:space="preserve">ether </w:t>
            </w:r>
            <w:r w:rsidRPr="00D25A5A">
              <w:rPr>
                <w:lang w:eastAsia="en-GB" w:bidi="en-GB"/>
              </w:rPr>
              <w:t xml:space="preserve">with any party which provides </w:t>
            </w:r>
            <w:r w:rsidRPr="001B56C1">
              <w:t xml:space="preserve">Beacon Finco, </w:t>
            </w:r>
            <w:proofErr w:type="spellStart"/>
            <w:r w:rsidRPr="001B56C1">
              <w:t>S.à</w:t>
            </w:r>
            <w:proofErr w:type="spellEnd"/>
            <w:r w:rsidRPr="001B56C1">
              <w:t xml:space="preserve"> </w:t>
            </w:r>
            <w:proofErr w:type="spellStart"/>
            <w:r w:rsidRPr="001B56C1">
              <w:t>r.l</w:t>
            </w:r>
            <w:proofErr w:type="spellEnd"/>
            <w:r w:rsidRPr="001B56C1">
              <w:t>.</w:t>
            </w:r>
            <w:r w:rsidRPr="00D25A5A">
              <w:rPr>
                <w:lang w:eastAsia="en-GB" w:bidi="en-GB"/>
              </w:rPr>
              <w:t xml:space="preserve"> with a Capex Facility and accedes to the </w:t>
            </w:r>
            <w:r>
              <w:rPr>
                <w:lang w:eastAsia="en-GB" w:bidi="en-GB"/>
              </w:rPr>
              <w:t>CTA</w:t>
            </w:r>
            <w:r w:rsidRPr="00D25A5A">
              <w:rPr>
                <w:lang w:eastAsia="en-GB" w:bidi="en-GB"/>
              </w:rPr>
              <w:t xml:space="preserve">, </w:t>
            </w:r>
            <w:r>
              <w:rPr>
                <w:lang w:eastAsia="en-GB" w:bidi="en-GB"/>
              </w:rPr>
              <w:t xml:space="preserve">the </w:t>
            </w:r>
            <w:r>
              <w:rPr>
                <w:lang w:eastAsia="en-GB" w:bidi="en-GB"/>
              </w:rPr>
              <w:lastRenderedPageBreak/>
              <w:t>MDA</w:t>
            </w:r>
            <w:r w:rsidRPr="00D25A5A">
              <w:rPr>
                <w:lang w:eastAsia="en-GB" w:bidi="en-GB"/>
              </w:rPr>
              <w:t xml:space="preserve"> and the STID</w:t>
            </w:r>
            <w:r>
              <w:t xml:space="preserve"> </w:t>
            </w:r>
            <w:r w:rsidRPr="00D25A5A">
              <w:t xml:space="preserve">(hereinafter, the </w:t>
            </w:r>
            <w:r w:rsidRPr="00D25A5A">
              <w:rPr>
                <w:b/>
              </w:rPr>
              <w:t>Capex Facility</w:t>
            </w:r>
            <w:r w:rsidRPr="00D25A5A">
              <w:rPr>
                <w:b/>
                <w:spacing w:val="-4"/>
              </w:rPr>
              <w:t xml:space="preserve"> </w:t>
            </w:r>
            <w:r w:rsidRPr="00D25A5A">
              <w:rPr>
                <w:b/>
              </w:rPr>
              <w:t>Providers</w:t>
            </w:r>
            <w:r w:rsidRPr="00D25A5A">
              <w:t>);</w:t>
            </w:r>
            <w:bookmarkEnd w:id="46"/>
          </w:p>
        </w:tc>
      </w:tr>
      <w:tr w:rsidR="000D089E" w:rsidRPr="00736F7D" w14:paraId="4F7938C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DCA19C7" w14:textId="77777777" w:rsidR="000D089E" w:rsidRPr="0047738D" w:rsidRDefault="000D089E" w:rsidP="000D089E">
            <w:pPr>
              <w:pStyle w:val="AOAltHead3"/>
              <w:rPr>
                <w:lang w:val="es-ES"/>
              </w:rPr>
            </w:pPr>
            <w:r>
              <w:rPr>
                <w:lang w:val="es-ES"/>
              </w:rPr>
              <w:lastRenderedPageBreak/>
              <w:t xml:space="preserve">las Entidades Financiadoras de Crédito </w:t>
            </w:r>
            <w:proofErr w:type="spellStart"/>
            <w:r>
              <w:rPr>
                <w:lang w:val="es-ES"/>
              </w:rPr>
              <w:t>Revolving</w:t>
            </w:r>
            <w:proofErr w:type="spellEnd"/>
            <w:r>
              <w:rPr>
                <w:lang w:val="es-ES"/>
              </w:rPr>
              <w:t xml:space="preserve"> (</w:t>
            </w:r>
            <w:proofErr w:type="spellStart"/>
            <w:r w:rsidRPr="00302914">
              <w:rPr>
                <w:i/>
                <w:lang w:val="es-ES"/>
              </w:rPr>
              <w:t>Revolving</w:t>
            </w:r>
            <w:proofErr w:type="spellEnd"/>
            <w:r w:rsidRPr="00302914">
              <w:rPr>
                <w:i/>
                <w:lang w:val="es-ES"/>
              </w:rPr>
              <w:t xml:space="preserve"> </w:t>
            </w:r>
            <w:proofErr w:type="spellStart"/>
            <w:r w:rsidRPr="00302914">
              <w:rPr>
                <w:i/>
                <w:lang w:val="es-ES"/>
              </w:rPr>
              <w:t>Credit</w:t>
            </w:r>
            <w:proofErr w:type="spellEnd"/>
            <w:r w:rsidRPr="00302914">
              <w:rPr>
                <w:i/>
                <w:lang w:val="es-ES"/>
              </w:rPr>
              <w:t xml:space="preserve"> </w:t>
            </w:r>
            <w:proofErr w:type="spellStart"/>
            <w:r w:rsidRPr="00302914">
              <w:rPr>
                <w:i/>
                <w:lang w:val="es-ES"/>
              </w:rPr>
              <w:t>Facility</w:t>
            </w:r>
            <w:proofErr w:type="spellEnd"/>
            <w:r w:rsidRPr="00302914">
              <w:rPr>
                <w:i/>
                <w:spacing w:val="-6"/>
                <w:lang w:val="es-ES"/>
              </w:rPr>
              <w:t xml:space="preserve"> </w:t>
            </w:r>
            <w:proofErr w:type="spellStart"/>
            <w:r w:rsidRPr="00302914">
              <w:rPr>
                <w:i/>
                <w:lang w:val="es-ES"/>
              </w:rPr>
              <w:t>Providers</w:t>
            </w:r>
            <w:proofErr w:type="spellEnd"/>
            <w:r>
              <w:rPr>
                <w:lang w:val="es-ES"/>
              </w:rPr>
              <w:t xml:space="preserve">) tal y como dicho término se encuentra definido en el MDA, junto con aquellas entidades que proporcionen a Beacon Finco,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financiaciones de crédito </w:t>
            </w:r>
            <w:proofErr w:type="spellStart"/>
            <w:r>
              <w:rPr>
                <w:lang w:val="es-ES"/>
              </w:rPr>
              <w:t>revolving</w:t>
            </w:r>
            <w:proofErr w:type="spellEnd"/>
            <w:r>
              <w:rPr>
                <w:lang w:val="es-ES"/>
              </w:rPr>
              <w:t xml:space="preserve"> para </w:t>
            </w:r>
            <w:proofErr w:type="spellStart"/>
            <w:r w:rsidRPr="00D25A5A">
              <w:rPr>
                <w:i/>
                <w:lang w:val="es-ES"/>
              </w:rPr>
              <w:t>working</w:t>
            </w:r>
            <w:proofErr w:type="spellEnd"/>
            <w:r w:rsidRPr="00D25A5A">
              <w:rPr>
                <w:i/>
                <w:lang w:val="es-ES"/>
              </w:rPr>
              <w:t xml:space="preserve"> capital</w:t>
            </w:r>
            <w:r>
              <w:rPr>
                <w:lang w:val="es-ES"/>
              </w:rPr>
              <w:t xml:space="preserve"> o financiación corporativa general (</w:t>
            </w:r>
            <w:proofErr w:type="spellStart"/>
            <w:r w:rsidRPr="00302914">
              <w:rPr>
                <w:i/>
                <w:lang w:val="es-ES"/>
              </w:rPr>
              <w:t>Revolving</w:t>
            </w:r>
            <w:proofErr w:type="spellEnd"/>
            <w:r w:rsidRPr="00302914">
              <w:rPr>
                <w:i/>
                <w:lang w:val="es-ES"/>
              </w:rPr>
              <w:t xml:space="preserve"> </w:t>
            </w:r>
            <w:proofErr w:type="spellStart"/>
            <w:r w:rsidRPr="00302914">
              <w:rPr>
                <w:i/>
                <w:lang w:val="es-ES"/>
              </w:rPr>
              <w:t>Credit</w:t>
            </w:r>
            <w:proofErr w:type="spellEnd"/>
            <w:r w:rsidRPr="00302914">
              <w:rPr>
                <w:i/>
                <w:lang w:val="es-ES"/>
              </w:rPr>
              <w:t xml:space="preserve"> </w:t>
            </w:r>
            <w:proofErr w:type="spellStart"/>
            <w:r w:rsidRPr="00302914">
              <w:rPr>
                <w:i/>
                <w:lang w:val="es-ES"/>
              </w:rPr>
              <w:t>Facility</w:t>
            </w:r>
            <w:proofErr w:type="spellEnd"/>
            <w:r>
              <w:rPr>
                <w:lang w:val="es-ES"/>
              </w:rPr>
              <w:t>) y que accedan al CTA, al MDA y al Contrato entre Acreedores (</w:t>
            </w:r>
            <w:proofErr w:type="spellStart"/>
            <w:r w:rsidRPr="00302914">
              <w:rPr>
                <w:i/>
                <w:lang w:val="es-ES"/>
              </w:rPr>
              <w:t>Revolving</w:t>
            </w:r>
            <w:proofErr w:type="spellEnd"/>
            <w:r w:rsidRPr="00302914">
              <w:rPr>
                <w:i/>
                <w:lang w:val="es-ES"/>
              </w:rPr>
              <w:t xml:space="preserve"> </w:t>
            </w:r>
            <w:proofErr w:type="spellStart"/>
            <w:r w:rsidRPr="00302914">
              <w:rPr>
                <w:i/>
                <w:lang w:val="es-ES"/>
              </w:rPr>
              <w:t>Credit</w:t>
            </w:r>
            <w:proofErr w:type="spellEnd"/>
            <w:r w:rsidRPr="00302914">
              <w:rPr>
                <w:i/>
                <w:lang w:val="es-ES"/>
              </w:rPr>
              <w:t xml:space="preserve"> </w:t>
            </w:r>
            <w:proofErr w:type="spellStart"/>
            <w:r w:rsidRPr="00302914">
              <w:rPr>
                <w:i/>
                <w:lang w:val="es-ES"/>
              </w:rPr>
              <w:t>Facility</w:t>
            </w:r>
            <w:proofErr w:type="spellEnd"/>
            <w:r w:rsidRPr="00302914">
              <w:rPr>
                <w:i/>
                <w:spacing w:val="-6"/>
                <w:lang w:val="es-ES"/>
              </w:rPr>
              <w:t xml:space="preserve"> </w:t>
            </w:r>
            <w:proofErr w:type="spellStart"/>
            <w:r w:rsidRPr="00302914">
              <w:rPr>
                <w:i/>
                <w:lang w:val="es-ES"/>
              </w:rPr>
              <w:t>Providers</w:t>
            </w:r>
            <w:proofErr w:type="spellEnd"/>
            <w:r>
              <w:rPr>
                <w:lang w:val="es-ES"/>
              </w:rPr>
              <w:t xml:space="preserve">) (las </w:t>
            </w:r>
            <w:r w:rsidRPr="004E4BF1">
              <w:rPr>
                <w:b/>
                <w:lang w:val="es-ES"/>
              </w:rPr>
              <w:t xml:space="preserve">Entidades Financiadoras de Crédito </w:t>
            </w:r>
            <w:proofErr w:type="spellStart"/>
            <w:r w:rsidRPr="004E4BF1">
              <w:rPr>
                <w:b/>
                <w:lang w:val="es-ES"/>
              </w:rPr>
              <w:t>Revolving</w:t>
            </w:r>
            <w:proofErr w:type="spellEnd"/>
            <w:r>
              <w:rPr>
                <w:lang w:val="es-ES"/>
              </w:rPr>
              <w:t>);</w:t>
            </w:r>
          </w:p>
        </w:tc>
        <w:tc>
          <w:tcPr>
            <w:tcW w:w="2500" w:type="pct"/>
            <w:shd w:val="clear" w:color="auto" w:fill="auto"/>
          </w:tcPr>
          <w:p w14:paraId="2D4BC960" w14:textId="77777777" w:rsidR="000D089E" w:rsidRPr="00736F7D" w:rsidRDefault="000D089E" w:rsidP="000D089E">
            <w:pPr>
              <w:pStyle w:val="AOGenNum1List"/>
            </w:pPr>
            <w:r w:rsidRPr="00343850">
              <w:t>Revolving Credit Facility</w:t>
            </w:r>
            <w:r w:rsidRPr="00343850">
              <w:rPr>
                <w:spacing w:val="-6"/>
              </w:rPr>
              <w:t xml:space="preserve"> </w:t>
            </w:r>
            <w:r w:rsidRPr="00343850">
              <w:t>Providers, as this term is defined in th</w:t>
            </w:r>
            <w:r>
              <w:t xml:space="preserve">e MDA, </w:t>
            </w:r>
            <w:r w:rsidRPr="001B56C1">
              <w:rPr>
                <w:lang w:eastAsia="en-GB" w:bidi="en-GB"/>
              </w:rPr>
              <w:t xml:space="preserve">together with any party which provides </w:t>
            </w:r>
            <w:r w:rsidRPr="001B56C1">
              <w:t xml:space="preserve">Beacon Finco, </w:t>
            </w:r>
            <w:proofErr w:type="spellStart"/>
            <w:r w:rsidRPr="001B56C1">
              <w:t>S.à</w:t>
            </w:r>
            <w:proofErr w:type="spellEnd"/>
            <w:r w:rsidRPr="001B56C1">
              <w:t xml:space="preserve"> </w:t>
            </w:r>
            <w:proofErr w:type="spellStart"/>
            <w:r w:rsidRPr="001B56C1">
              <w:t>r.l</w:t>
            </w:r>
            <w:proofErr w:type="spellEnd"/>
            <w:r w:rsidRPr="001B56C1">
              <w:t>.</w:t>
            </w:r>
            <w:r w:rsidRPr="001B56C1">
              <w:rPr>
                <w:lang w:eastAsia="en-GB" w:bidi="en-GB"/>
              </w:rPr>
              <w:t xml:space="preserve"> with a Revolving Credit Facility</w:t>
            </w:r>
            <w:r>
              <w:rPr>
                <w:lang w:eastAsia="en-GB" w:bidi="en-GB"/>
              </w:rPr>
              <w:t xml:space="preserve"> for working capital and general </w:t>
            </w:r>
            <w:r>
              <w:t>corporative</w:t>
            </w:r>
            <w:r>
              <w:rPr>
                <w:lang w:eastAsia="en-GB" w:bidi="en-GB"/>
              </w:rPr>
              <w:t xml:space="preserve"> financing and accedes</w:t>
            </w:r>
            <w:r w:rsidRPr="001B56C1">
              <w:rPr>
                <w:lang w:eastAsia="en-GB" w:bidi="en-GB"/>
              </w:rPr>
              <w:t xml:space="preserve"> </w:t>
            </w:r>
            <w:r>
              <w:rPr>
                <w:lang w:eastAsia="en-GB" w:bidi="en-GB"/>
              </w:rPr>
              <w:t>to</w:t>
            </w:r>
            <w:r w:rsidRPr="001B56C1">
              <w:rPr>
                <w:lang w:eastAsia="en-GB" w:bidi="en-GB"/>
              </w:rPr>
              <w:t xml:space="preserve"> the </w:t>
            </w:r>
            <w:r>
              <w:rPr>
                <w:lang w:eastAsia="en-GB" w:bidi="en-GB"/>
              </w:rPr>
              <w:t>CTA</w:t>
            </w:r>
            <w:r w:rsidRPr="001B56C1">
              <w:rPr>
                <w:lang w:eastAsia="en-GB" w:bidi="en-GB"/>
              </w:rPr>
              <w:t xml:space="preserve">, </w:t>
            </w:r>
            <w:r>
              <w:rPr>
                <w:lang w:eastAsia="en-GB" w:bidi="en-GB"/>
              </w:rPr>
              <w:t>the MDA</w:t>
            </w:r>
            <w:r w:rsidRPr="001B56C1">
              <w:rPr>
                <w:lang w:eastAsia="en-GB" w:bidi="en-GB"/>
              </w:rPr>
              <w:t xml:space="preserve"> and the STID</w:t>
            </w:r>
            <w:r>
              <w:t xml:space="preserve"> (hereinafter, the </w:t>
            </w:r>
            <w:r w:rsidRPr="004E4BF1">
              <w:rPr>
                <w:b/>
              </w:rPr>
              <w:t>Revolving Credit Facility</w:t>
            </w:r>
            <w:r w:rsidRPr="004E4BF1">
              <w:rPr>
                <w:b/>
                <w:spacing w:val="-6"/>
              </w:rPr>
              <w:t xml:space="preserve"> </w:t>
            </w:r>
            <w:r w:rsidRPr="004E4BF1">
              <w:rPr>
                <w:b/>
              </w:rPr>
              <w:t>Providers</w:t>
            </w:r>
            <w:r>
              <w:t>)</w:t>
            </w:r>
            <w:r w:rsidRPr="00343850">
              <w:t>;</w:t>
            </w:r>
          </w:p>
        </w:tc>
      </w:tr>
      <w:tr w:rsidR="000D089E" w:rsidRPr="0047738D" w14:paraId="543E343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884CA8A" w14:textId="77777777" w:rsidR="000D089E" w:rsidRDefault="000D089E" w:rsidP="000D089E">
            <w:pPr>
              <w:pStyle w:val="AOAltHead3"/>
              <w:rPr>
                <w:lang w:val="es-ES"/>
              </w:rPr>
            </w:pPr>
            <w:r>
              <w:rPr>
                <w:lang w:val="es-ES"/>
              </w:rPr>
              <w:t>cada Agente de la Financiación bajo cada Contrato de Crédito Autorizado (</w:t>
            </w:r>
            <w:proofErr w:type="spellStart"/>
            <w:r w:rsidRPr="0047738D">
              <w:rPr>
                <w:i/>
                <w:lang w:val="es-ES"/>
              </w:rPr>
              <w:t>Authorised</w:t>
            </w:r>
            <w:proofErr w:type="spellEnd"/>
            <w:r w:rsidRPr="0047738D">
              <w:rPr>
                <w:i/>
                <w:lang w:val="es-ES"/>
              </w:rPr>
              <w:t xml:space="preserve"> </w:t>
            </w:r>
            <w:proofErr w:type="spellStart"/>
            <w:r w:rsidRPr="0047738D">
              <w:rPr>
                <w:i/>
                <w:lang w:val="es-ES"/>
              </w:rPr>
              <w:t>Credit</w:t>
            </w:r>
            <w:proofErr w:type="spellEnd"/>
            <w:r w:rsidRPr="0047738D">
              <w:rPr>
                <w:i/>
                <w:spacing w:val="-10"/>
                <w:lang w:val="es-ES"/>
              </w:rPr>
              <w:t xml:space="preserve"> </w:t>
            </w:r>
            <w:proofErr w:type="spellStart"/>
            <w:r w:rsidRPr="0047738D">
              <w:rPr>
                <w:i/>
                <w:lang w:val="es-ES"/>
              </w:rPr>
              <w:t>Facility</w:t>
            </w:r>
            <w:proofErr w:type="spellEnd"/>
            <w:r>
              <w:rPr>
                <w:lang w:val="es-ES"/>
              </w:rPr>
              <w:t xml:space="preserve">) tal y como dicho término se encuentra definido en el MDA (los </w:t>
            </w:r>
            <w:r w:rsidRPr="004C1978">
              <w:rPr>
                <w:b/>
                <w:lang w:val="es-ES"/>
              </w:rPr>
              <w:t>Agentes de las Financiaciones ACF</w:t>
            </w:r>
            <w:r>
              <w:rPr>
                <w:lang w:val="es-ES"/>
              </w:rPr>
              <w:t>);</w:t>
            </w:r>
          </w:p>
        </w:tc>
        <w:tc>
          <w:tcPr>
            <w:tcW w:w="2500" w:type="pct"/>
            <w:shd w:val="clear" w:color="auto" w:fill="auto"/>
          </w:tcPr>
          <w:p w14:paraId="195B0792" w14:textId="77777777" w:rsidR="000D089E" w:rsidRPr="0047738D" w:rsidRDefault="000D089E" w:rsidP="000D089E">
            <w:pPr>
              <w:pStyle w:val="AOGenNum1List"/>
            </w:pPr>
            <w:r w:rsidRPr="00290328">
              <w:t>each Facility Agent under each Authorised Credit</w:t>
            </w:r>
            <w:r w:rsidRPr="00290328">
              <w:rPr>
                <w:spacing w:val="-10"/>
              </w:rPr>
              <w:t xml:space="preserve"> </w:t>
            </w:r>
            <w:r w:rsidRPr="00290328">
              <w:t>Facility</w:t>
            </w:r>
            <w:r>
              <w:t xml:space="preserve"> </w:t>
            </w:r>
            <w:r w:rsidRPr="00343850">
              <w:t>as this term is defined in th</w:t>
            </w:r>
            <w:r>
              <w:t xml:space="preserve">e MDA (the </w:t>
            </w:r>
            <w:r w:rsidRPr="004C1978">
              <w:rPr>
                <w:b/>
              </w:rPr>
              <w:t>ACF Facility Agents</w:t>
            </w:r>
            <w:r>
              <w:t>);</w:t>
            </w:r>
          </w:p>
        </w:tc>
      </w:tr>
      <w:tr w:rsidR="000D089E" w14:paraId="3C15713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16538EE" w14:textId="2ED39835" w:rsidR="000D089E" w:rsidRDefault="000D089E" w:rsidP="000D089E">
            <w:pPr>
              <w:pStyle w:val="AOAltHead3"/>
              <w:rPr>
                <w:lang w:val="es-ES"/>
              </w:rPr>
            </w:pPr>
            <w:r>
              <w:rPr>
                <w:lang w:val="es-ES"/>
              </w:rPr>
              <w:t xml:space="preserve">las </w:t>
            </w:r>
            <w:r w:rsidRPr="004C16ED">
              <w:rPr>
                <w:lang w:val="es-ES"/>
              </w:rPr>
              <w:t>Entidades de Cobertura</w:t>
            </w:r>
            <w:r>
              <w:rPr>
                <w:lang w:val="es-ES"/>
              </w:rPr>
              <w:t xml:space="preserve"> Originales, las Nuevas Entidades de Cobertura y aquellas entidades que en cada momento tengan la consideración de entidad de cobertura (</w:t>
            </w:r>
            <w:proofErr w:type="spellStart"/>
            <w:r w:rsidRPr="0068157E">
              <w:rPr>
                <w:i/>
                <w:lang w:val="es-ES"/>
              </w:rPr>
              <w:t>hedge</w:t>
            </w:r>
            <w:proofErr w:type="spellEnd"/>
            <w:r w:rsidRPr="0068157E">
              <w:rPr>
                <w:i/>
                <w:lang w:val="es-ES"/>
              </w:rPr>
              <w:t xml:space="preserve"> </w:t>
            </w:r>
            <w:proofErr w:type="spellStart"/>
            <w:r w:rsidRPr="0068157E">
              <w:rPr>
                <w:i/>
                <w:lang w:val="es-ES"/>
              </w:rPr>
              <w:t>counterparty</w:t>
            </w:r>
            <w:proofErr w:type="spellEnd"/>
            <w:r>
              <w:rPr>
                <w:lang w:val="es-ES"/>
              </w:rPr>
              <w:t xml:space="preserve">) de conformidad con lo previsto en el Contrato entre Acreedores (en adelante, las </w:t>
            </w:r>
            <w:r w:rsidRPr="005C7F05">
              <w:rPr>
                <w:b/>
                <w:lang w:val="es-ES"/>
              </w:rPr>
              <w:t>Entidades de Cobertura</w:t>
            </w:r>
            <w:r>
              <w:rPr>
                <w:lang w:val="es-ES"/>
              </w:rPr>
              <w:t>);</w:t>
            </w:r>
          </w:p>
        </w:tc>
        <w:tc>
          <w:tcPr>
            <w:tcW w:w="2500" w:type="pct"/>
            <w:shd w:val="clear" w:color="auto" w:fill="auto"/>
          </w:tcPr>
          <w:p w14:paraId="5345E956" w14:textId="3EA4DF4F" w:rsidR="000D089E" w:rsidRDefault="000D089E" w:rsidP="000D089E">
            <w:pPr>
              <w:pStyle w:val="AOGenNum1List"/>
            </w:pPr>
            <w:r>
              <w:t xml:space="preserve">the Original Hedge Counterparties, the New Hedge Counterparties and those entities that </w:t>
            </w:r>
            <w:r w:rsidRPr="00F775F7">
              <w:rPr>
                <w:noProof/>
              </w:rPr>
              <w:t>at any moment have the condition of</w:t>
            </w:r>
            <w:r>
              <w:rPr>
                <w:noProof/>
              </w:rPr>
              <w:t xml:space="preserve"> hedge counterparty according to the established in the STID (hereinafter, the </w:t>
            </w:r>
            <w:r w:rsidRPr="005C7F05">
              <w:rPr>
                <w:b/>
                <w:noProof/>
              </w:rPr>
              <w:t>Hedge Counterparties</w:t>
            </w:r>
            <w:r>
              <w:rPr>
                <w:noProof/>
              </w:rPr>
              <w:t>)</w:t>
            </w:r>
            <w:r>
              <w:t>;</w:t>
            </w:r>
          </w:p>
        </w:tc>
      </w:tr>
      <w:tr w:rsidR="000D089E" w:rsidRPr="00C0506F" w14:paraId="24BED6F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DA5372E" w14:textId="77777777" w:rsidR="000D089E" w:rsidRPr="00264708" w:rsidRDefault="000D089E" w:rsidP="000D089E">
            <w:pPr>
              <w:pStyle w:val="AOAltHead3"/>
              <w:rPr>
                <w:lang w:val="es-ES"/>
              </w:rPr>
            </w:pPr>
            <w:r w:rsidRPr="00264708">
              <w:rPr>
                <w:lang w:val="es-ES"/>
              </w:rPr>
              <w:t xml:space="preserve">cualquier sustituto como </w:t>
            </w:r>
            <w:r>
              <w:rPr>
                <w:lang w:val="es-ES"/>
              </w:rPr>
              <w:t xml:space="preserve">responsable de tesorería </w:t>
            </w:r>
            <w:r w:rsidRPr="00407F45">
              <w:rPr>
                <w:i/>
                <w:lang w:val="es-ES"/>
              </w:rPr>
              <w:t>(</w:t>
            </w:r>
            <w:r w:rsidRPr="009F344D">
              <w:rPr>
                <w:i/>
                <w:lang w:val="es-ES"/>
              </w:rPr>
              <w:t>Cash Manager</w:t>
            </w:r>
            <w:r>
              <w:rPr>
                <w:i/>
                <w:lang w:val="es-ES"/>
              </w:rPr>
              <w:t>)</w:t>
            </w:r>
            <w:r w:rsidRPr="00264708">
              <w:rPr>
                <w:lang w:val="es-ES"/>
              </w:rPr>
              <w:t xml:space="preserve"> que no sea miembro del Grupo de Garantías (</w:t>
            </w:r>
            <w:r w:rsidRPr="00264708">
              <w:rPr>
                <w:i/>
                <w:lang w:val="es-ES"/>
              </w:rPr>
              <w:t>Security Group</w:t>
            </w:r>
            <w:r w:rsidRPr="00264708">
              <w:rPr>
                <w:lang w:val="es-ES"/>
              </w:rPr>
              <w:t>);</w:t>
            </w:r>
          </w:p>
        </w:tc>
        <w:tc>
          <w:tcPr>
            <w:tcW w:w="2500" w:type="pct"/>
            <w:shd w:val="clear" w:color="auto" w:fill="auto"/>
          </w:tcPr>
          <w:p w14:paraId="66429E46" w14:textId="77777777" w:rsidR="000D089E" w:rsidRPr="00C0506F" w:rsidRDefault="000D089E" w:rsidP="000D089E">
            <w:pPr>
              <w:pStyle w:val="AOGenNum1List"/>
            </w:pPr>
            <w:r w:rsidRPr="00C0506F">
              <w:t>any replacement Cash Manager who is not a member of the Security Group</w:t>
            </w:r>
            <w:r>
              <w:t>;</w:t>
            </w:r>
          </w:p>
        </w:tc>
      </w:tr>
      <w:tr w:rsidR="000D089E" w:rsidRPr="00C0506F" w14:paraId="38E34B7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849C561" w14:textId="77777777" w:rsidR="000D089E" w:rsidRPr="00FA6A96" w:rsidRDefault="000D089E" w:rsidP="000D089E">
            <w:pPr>
              <w:pStyle w:val="AOAltHead3"/>
              <w:rPr>
                <w:lang w:val="es-ES"/>
              </w:rPr>
            </w:pPr>
            <w:r w:rsidRPr="00FA6A96">
              <w:rPr>
                <w:lang w:val="es-ES"/>
              </w:rPr>
              <w:t xml:space="preserve">el Banco Emisor </w:t>
            </w:r>
            <w:r w:rsidRPr="00A91F71">
              <w:rPr>
                <w:lang w:val="es-ES"/>
              </w:rPr>
              <w:t xml:space="preserve">(tal y como dicho término se define en el Contrato entre </w:t>
            </w:r>
            <w:r>
              <w:rPr>
                <w:lang w:val="es-ES"/>
              </w:rPr>
              <w:t>Acreedores)</w:t>
            </w:r>
            <w:r w:rsidRPr="00FA6A96">
              <w:rPr>
                <w:lang w:val="es-ES"/>
              </w:rPr>
              <w:t>;</w:t>
            </w:r>
          </w:p>
        </w:tc>
        <w:tc>
          <w:tcPr>
            <w:tcW w:w="2500" w:type="pct"/>
            <w:shd w:val="clear" w:color="auto" w:fill="auto"/>
          </w:tcPr>
          <w:p w14:paraId="5125F98C" w14:textId="77777777" w:rsidR="000D089E" w:rsidRPr="00C0506F" w:rsidRDefault="000D089E" w:rsidP="000D089E">
            <w:pPr>
              <w:pStyle w:val="AOGenNum1List"/>
            </w:pPr>
            <w:r>
              <w:t>the Issuing Bank (as this term is defined in the STID);</w:t>
            </w:r>
          </w:p>
        </w:tc>
      </w:tr>
      <w:tr w:rsidR="000D089E" w14:paraId="75E208F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2D42699" w14:textId="77777777" w:rsidR="000D089E" w:rsidRPr="00A91F71" w:rsidRDefault="000D089E" w:rsidP="000D089E">
            <w:pPr>
              <w:pStyle w:val="AOAltHead3"/>
              <w:rPr>
                <w:lang w:val="es-ES"/>
              </w:rPr>
            </w:pPr>
            <w:r w:rsidRPr="00A91F71">
              <w:rPr>
                <w:lang w:val="es-ES"/>
              </w:rPr>
              <w:t xml:space="preserve">las Compradoras (tal y como dicho término se define en el Contrato entre </w:t>
            </w:r>
            <w:r>
              <w:rPr>
                <w:lang w:val="es-ES"/>
              </w:rPr>
              <w:t>Acreedores)</w:t>
            </w:r>
            <w:r w:rsidRPr="00A91F71">
              <w:rPr>
                <w:lang w:val="es-ES"/>
              </w:rPr>
              <w:t>;</w:t>
            </w:r>
          </w:p>
        </w:tc>
        <w:tc>
          <w:tcPr>
            <w:tcW w:w="2500" w:type="pct"/>
            <w:shd w:val="clear" w:color="auto" w:fill="auto"/>
          </w:tcPr>
          <w:p w14:paraId="1FD97ECC" w14:textId="77777777" w:rsidR="000D089E" w:rsidRDefault="000D089E" w:rsidP="000D089E">
            <w:pPr>
              <w:pStyle w:val="AOGenNum1List"/>
            </w:pPr>
            <w:r>
              <w:t>the Purchasers (as this term is defined in the STID);</w:t>
            </w:r>
          </w:p>
        </w:tc>
      </w:tr>
      <w:tr w:rsidR="000D089E" w:rsidRPr="00C731F0" w14:paraId="1C4E6AA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B7EC6B1" w14:textId="77777777" w:rsidR="000D089E" w:rsidRPr="00A91F71" w:rsidRDefault="000D089E" w:rsidP="000D089E">
            <w:pPr>
              <w:pStyle w:val="AOAltHead3"/>
              <w:rPr>
                <w:lang w:val="es-ES"/>
              </w:rPr>
            </w:pPr>
            <w:r>
              <w:rPr>
                <w:lang w:val="es-ES"/>
              </w:rPr>
              <w:t>cualesquiera otras entidades financiadoras de crédito autorizado (</w:t>
            </w:r>
            <w:proofErr w:type="spellStart"/>
            <w:r w:rsidRPr="00C731F0">
              <w:rPr>
                <w:i/>
                <w:lang w:val="es-ES"/>
              </w:rPr>
              <w:t>Authorised</w:t>
            </w:r>
            <w:proofErr w:type="spellEnd"/>
            <w:r w:rsidRPr="00C731F0">
              <w:rPr>
                <w:i/>
                <w:lang w:val="es-ES"/>
              </w:rPr>
              <w:t xml:space="preserve"> </w:t>
            </w:r>
            <w:proofErr w:type="spellStart"/>
            <w:r w:rsidRPr="00C731F0">
              <w:rPr>
                <w:i/>
                <w:lang w:val="es-ES"/>
              </w:rPr>
              <w:t>Credit</w:t>
            </w:r>
            <w:proofErr w:type="spellEnd"/>
            <w:r w:rsidRPr="00C731F0">
              <w:rPr>
                <w:i/>
                <w:lang w:val="es-ES"/>
              </w:rPr>
              <w:t xml:space="preserve"> </w:t>
            </w:r>
            <w:proofErr w:type="spellStart"/>
            <w:r w:rsidRPr="00C731F0">
              <w:rPr>
                <w:i/>
                <w:lang w:val="es-ES"/>
              </w:rPr>
              <w:t>Provider</w:t>
            </w:r>
            <w:proofErr w:type="spellEnd"/>
            <w:r>
              <w:rPr>
                <w:lang w:val="es-ES"/>
              </w:rPr>
              <w:t xml:space="preserve">) </w:t>
            </w:r>
            <w:r w:rsidRPr="00A91F71">
              <w:rPr>
                <w:lang w:val="es-ES"/>
              </w:rPr>
              <w:t xml:space="preserve">(tal y como dicho término se define en el </w:t>
            </w:r>
            <w:r>
              <w:rPr>
                <w:lang w:val="es-ES"/>
              </w:rPr>
              <w:t xml:space="preserve">MDA); </w:t>
            </w:r>
          </w:p>
        </w:tc>
        <w:tc>
          <w:tcPr>
            <w:tcW w:w="2500" w:type="pct"/>
            <w:shd w:val="clear" w:color="auto" w:fill="auto"/>
          </w:tcPr>
          <w:p w14:paraId="499961EC" w14:textId="77777777" w:rsidR="000D089E" w:rsidRPr="00C731F0" w:rsidRDefault="000D089E" w:rsidP="000D089E">
            <w:pPr>
              <w:pStyle w:val="AOGenNum1List"/>
            </w:pPr>
            <w:r w:rsidRPr="00290328">
              <w:t>each other Authorised Credit Provider</w:t>
            </w:r>
            <w:r>
              <w:t xml:space="preserve"> (as this term is defined in the MDA);</w:t>
            </w:r>
          </w:p>
        </w:tc>
      </w:tr>
      <w:tr w:rsidR="000D089E" w:rsidRPr="0071125D" w14:paraId="7497FFB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75F8E26" w14:textId="77777777" w:rsidR="000D089E" w:rsidRPr="00CF5BD6" w:rsidRDefault="000D089E" w:rsidP="000D089E">
            <w:pPr>
              <w:pStyle w:val="AOAltHead3"/>
              <w:rPr>
                <w:lang w:val="es-ES"/>
              </w:rPr>
            </w:pPr>
            <w:r>
              <w:rPr>
                <w:lang w:val="es-ES"/>
              </w:rPr>
              <w:t>cada Tenedor de los Bonos (</w:t>
            </w:r>
            <w:r w:rsidRPr="0071125D">
              <w:rPr>
                <w:i/>
                <w:lang w:val="es-ES"/>
              </w:rPr>
              <w:t>Bond Trustee</w:t>
            </w:r>
            <w:r>
              <w:rPr>
                <w:lang w:val="es-ES"/>
              </w:rPr>
              <w:t xml:space="preserve">) (en su propio nombre y en nombre y representación de cada </w:t>
            </w:r>
            <w:r w:rsidRPr="00CF5BD6">
              <w:rPr>
                <w:lang w:val="es-ES"/>
              </w:rPr>
              <w:t xml:space="preserve">Entidad </w:t>
            </w:r>
            <w:r w:rsidRPr="00CF5BD6">
              <w:rPr>
                <w:lang w:val="es-ES"/>
              </w:rPr>
              <w:lastRenderedPageBreak/>
              <w:t xml:space="preserve">Financiadora de </w:t>
            </w:r>
            <w:r>
              <w:rPr>
                <w:lang w:val="es-ES"/>
              </w:rPr>
              <w:t>Crédito Autorizado (</w:t>
            </w:r>
            <w:proofErr w:type="spellStart"/>
            <w:r w:rsidRPr="00CF5BD6">
              <w:rPr>
                <w:i/>
                <w:lang w:val="es-ES"/>
              </w:rPr>
              <w:t>Authorised</w:t>
            </w:r>
            <w:proofErr w:type="spellEnd"/>
            <w:r w:rsidRPr="00CF5BD6">
              <w:rPr>
                <w:i/>
                <w:lang w:val="es-ES"/>
              </w:rPr>
              <w:t xml:space="preserve"> </w:t>
            </w:r>
            <w:proofErr w:type="spellStart"/>
            <w:r w:rsidRPr="00CF5BD6">
              <w:rPr>
                <w:i/>
                <w:lang w:val="es-ES"/>
              </w:rPr>
              <w:t>Credit</w:t>
            </w:r>
            <w:proofErr w:type="spellEnd"/>
            <w:r w:rsidRPr="00CF5BD6">
              <w:rPr>
                <w:i/>
                <w:lang w:val="es-ES"/>
              </w:rPr>
              <w:t xml:space="preserve"> </w:t>
            </w:r>
            <w:proofErr w:type="spellStart"/>
            <w:r w:rsidRPr="00CF5BD6">
              <w:rPr>
                <w:i/>
                <w:lang w:val="es-ES"/>
              </w:rPr>
              <w:t>Provider</w:t>
            </w:r>
            <w:proofErr w:type="spellEnd"/>
            <w:r>
              <w:rPr>
                <w:lang w:val="es-ES"/>
              </w:rPr>
              <w:t>);</w:t>
            </w:r>
          </w:p>
        </w:tc>
        <w:tc>
          <w:tcPr>
            <w:tcW w:w="2500" w:type="pct"/>
            <w:shd w:val="clear" w:color="auto" w:fill="auto"/>
          </w:tcPr>
          <w:p w14:paraId="77DD01B9" w14:textId="77777777" w:rsidR="000D089E" w:rsidRPr="0071125D" w:rsidRDefault="000D089E" w:rsidP="000D089E">
            <w:pPr>
              <w:pStyle w:val="AOGenNum1List"/>
            </w:pPr>
            <w:r w:rsidRPr="00290328">
              <w:lastRenderedPageBreak/>
              <w:t>each Bond Trustee (for itself and on behalf of each relevant Authorised Credit</w:t>
            </w:r>
            <w:r w:rsidRPr="00290328">
              <w:rPr>
                <w:spacing w:val="-9"/>
              </w:rPr>
              <w:t xml:space="preserve"> </w:t>
            </w:r>
            <w:r w:rsidRPr="00290328">
              <w:t>Provider);</w:t>
            </w:r>
          </w:p>
        </w:tc>
      </w:tr>
      <w:tr w:rsidR="000D089E" w:rsidRPr="00290328" w14:paraId="6BE2A61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6399302" w14:textId="77777777" w:rsidR="000D089E" w:rsidRDefault="000D089E" w:rsidP="000D089E">
            <w:pPr>
              <w:pStyle w:val="AOAltHead3"/>
              <w:rPr>
                <w:lang w:val="es-ES"/>
              </w:rPr>
            </w:pPr>
            <w:r>
              <w:rPr>
                <w:lang w:val="es-ES"/>
              </w:rPr>
              <w:t xml:space="preserve">cada </w:t>
            </w:r>
            <w:r w:rsidRPr="0071125D">
              <w:rPr>
                <w:lang w:val="es-ES"/>
              </w:rPr>
              <w:t>representante del Contrato de Compra de Instrumentos de Deuda</w:t>
            </w:r>
            <w:r w:rsidRPr="0071125D">
              <w:rPr>
                <w:i/>
                <w:lang w:val="es-ES"/>
              </w:rPr>
              <w:t xml:space="preserve"> </w:t>
            </w:r>
            <w:r w:rsidRPr="0071125D">
              <w:rPr>
                <w:lang w:val="es-ES"/>
              </w:rPr>
              <w:t>PP; y</w:t>
            </w:r>
          </w:p>
        </w:tc>
        <w:tc>
          <w:tcPr>
            <w:tcW w:w="2500" w:type="pct"/>
            <w:shd w:val="clear" w:color="auto" w:fill="auto"/>
          </w:tcPr>
          <w:p w14:paraId="69C95584" w14:textId="77777777" w:rsidR="000D089E" w:rsidRPr="00290328" w:rsidRDefault="000D089E" w:rsidP="000D089E">
            <w:pPr>
              <w:pStyle w:val="AOGenNum1List"/>
            </w:pPr>
            <w:r w:rsidRPr="00290328">
              <w:t>each PP Creditor Secured Creditor Representative;</w:t>
            </w:r>
            <w:r w:rsidRPr="00290328">
              <w:rPr>
                <w:spacing w:val="1"/>
              </w:rPr>
              <w:t xml:space="preserve"> </w:t>
            </w:r>
            <w:r>
              <w:t>and</w:t>
            </w:r>
          </w:p>
        </w:tc>
      </w:tr>
      <w:tr w:rsidR="000D089E" w:rsidRPr="007C2892" w14:paraId="4A83D10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10A5A81" w14:textId="41E50FB2" w:rsidR="000D089E" w:rsidRDefault="000D089E" w:rsidP="000D089E">
            <w:pPr>
              <w:pStyle w:val="AOAltHead3"/>
              <w:rPr>
                <w:lang w:val="es-ES"/>
              </w:rPr>
            </w:pPr>
            <w:bookmarkStart w:id="47" w:name="_Ref68013392"/>
            <w:r>
              <w:rPr>
                <w:lang w:val="es-ES"/>
              </w:rPr>
              <w:t>cada Parte Garantizada Adicional (</w:t>
            </w:r>
            <w:proofErr w:type="spellStart"/>
            <w:r w:rsidRPr="0071125D">
              <w:rPr>
                <w:i/>
                <w:lang w:val="es-ES"/>
              </w:rPr>
              <w:t>Additional</w:t>
            </w:r>
            <w:proofErr w:type="spellEnd"/>
            <w:r w:rsidRPr="0071125D">
              <w:rPr>
                <w:i/>
                <w:lang w:val="es-ES"/>
              </w:rPr>
              <w:t xml:space="preserve"> </w:t>
            </w:r>
            <w:proofErr w:type="spellStart"/>
            <w:r w:rsidRPr="0071125D">
              <w:rPr>
                <w:i/>
                <w:lang w:val="es-ES"/>
              </w:rPr>
              <w:t>Secured</w:t>
            </w:r>
            <w:proofErr w:type="spellEnd"/>
            <w:r w:rsidRPr="0071125D">
              <w:rPr>
                <w:i/>
                <w:lang w:val="es-ES"/>
              </w:rPr>
              <w:t xml:space="preserve"> </w:t>
            </w:r>
            <w:proofErr w:type="spellStart"/>
            <w:r w:rsidRPr="0071125D">
              <w:rPr>
                <w:i/>
                <w:lang w:val="es-ES"/>
              </w:rPr>
              <w:t>Creditor</w:t>
            </w:r>
            <w:proofErr w:type="spellEnd"/>
            <w:r>
              <w:rPr>
                <w:lang w:val="es-ES"/>
              </w:rPr>
              <w:t>) tal y como dicho término se encuentra definido en el MDA.</w:t>
            </w:r>
            <w:bookmarkEnd w:id="47"/>
          </w:p>
        </w:tc>
        <w:tc>
          <w:tcPr>
            <w:tcW w:w="2500" w:type="pct"/>
            <w:shd w:val="clear" w:color="auto" w:fill="auto"/>
          </w:tcPr>
          <w:p w14:paraId="353EEFD7" w14:textId="77777777" w:rsidR="000D089E" w:rsidRPr="007C2892" w:rsidRDefault="000D089E" w:rsidP="000D089E">
            <w:pPr>
              <w:pStyle w:val="AOGenNum1List"/>
            </w:pPr>
            <w:bookmarkStart w:id="48" w:name="_Ref68013415"/>
            <w:r>
              <w:t xml:space="preserve">Each </w:t>
            </w:r>
            <w:r w:rsidRPr="00290328">
              <w:t>Additional Secured Creditor</w:t>
            </w:r>
            <w:r w:rsidRPr="00343850">
              <w:t xml:space="preserve"> as this term is defined in th</w:t>
            </w:r>
            <w:r>
              <w:t>e MDA.</w:t>
            </w:r>
            <w:bookmarkEnd w:id="48"/>
          </w:p>
        </w:tc>
      </w:tr>
      <w:tr w:rsidR="000D089E" w:rsidRPr="00B11E61" w14:paraId="73C86E6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DF64BFD" w14:textId="2079CFF7" w:rsidR="000D089E" w:rsidRDefault="000D089E" w:rsidP="000D089E">
            <w:pPr>
              <w:pStyle w:val="AODocTxt"/>
              <w:rPr>
                <w:lang w:val="es-ES"/>
              </w:rPr>
            </w:pPr>
            <w:r>
              <w:rPr>
                <w:lang w:val="es-ES"/>
              </w:rPr>
              <w:t>En adelante, las entidades referidas de la sección (l) a (</w:t>
            </w:r>
            <w:r w:rsidR="004B6D59">
              <w:rPr>
                <w:lang w:val="es-ES"/>
              </w:rPr>
              <w:t>m</w:t>
            </w:r>
            <w:r>
              <w:rPr>
                <w:lang w:val="es-ES"/>
              </w:rPr>
              <w:t xml:space="preserve">) serán referidas como las </w:t>
            </w:r>
            <w:r w:rsidRPr="00B11E61">
              <w:rPr>
                <w:b/>
                <w:lang w:val="es-ES"/>
              </w:rPr>
              <w:t>Nuevas Partes Garantizadas</w:t>
            </w:r>
            <w:r>
              <w:rPr>
                <w:lang w:val="es-ES"/>
              </w:rPr>
              <w:t xml:space="preserve">. </w:t>
            </w:r>
          </w:p>
        </w:tc>
        <w:tc>
          <w:tcPr>
            <w:tcW w:w="2500" w:type="pct"/>
            <w:shd w:val="clear" w:color="auto" w:fill="auto"/>
          </w:tcPr>
          <w:p w14:paraId="2CCDF1F7" w14:textId="4028B25C" w:rsidR="000D089E" w:rsidRPr="00B11E61" w:rsidRDefault="000D089E" w:rsidP="000D089E">
            <w:pPr>
              <w:pStyle w:val="AODocTxt"/>
            </w:pPr>
            <w:r w:rsidRPr="00B11E61">
              <w:t>Hereinafter, the enti</w:t>
            </w:r>
            <w:r>
              <w:t>ties referred to in sections (l) to (</w:t>
            </w:r>
            <w:r w:rsidR="004B6D59">
              <w:t>m</w:t>
            </w:r>
            <w:r>
              <w:t>)</w:t>
            </w:r>
            <w:r w:rsidRPr="00B11E61">
              <w:t xml:space="preserve"> above </w:t>
            </w:r>
            <w:r>
              <w:t xml:space="preserve">shall be referred to as the </w:t>
            </w:r>
            <w:r w:rsidRPr="00B11E61">
              <w:rPr>
                <w:b/>
              </w:rPr>
              <w:t>New Secured Parties</w:t>
            </w:r>
            <w:r>
              <w:t>.</w:t>
            </w:r>
          </w:p>
        </w:tc>
      </w:tr>
      <w:tr w:rsidR="000D089E" w:rsidRPr="009A6BDC" w14:paraId="02E63AB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B3FCE1D" w14:textId="76018927" w:rsidR="000D089E" w:rsidRPr="00722CDA" w:rsidRDefault="000D089E" w:rsidP="000D089E">
            <w:pPr>
              <w:pStyle w:val="AODocTxt"/>
              <w:rPr>
                <w:noProof/>
                <w:lang w:val="es-ES"/>
              </w:rPr>
            </w:pPr>
            <w:r w:rsidRPr="00722CDA">
              <w:rPr>
                <w:noProof/>
                <w:lang w:val="es-ES"/>
              </w:rPr>
              <w:t xml:space="preserve">En adelante, las </w:t>
            </w:r>
            <w:r w:rsidRPr="00722CDA">
              <w:rPr>
                <w:lang w:val="es-ES"/>
              </w:rPr>
              <w:t>Entidades Financiadoras Iniciales ACF, las Entidades Financiadoras Iniciales MRF, las Entidades Financiadoras Iniciales LF, las Entidades Financiadoras Originales IBFA, las Entidades Financiadoras Originales IFA</w:t>
            </w:r>
            <w:r w:rsidRPr="00722CDA">
              <w:rPr>
                <w:noProof/>
                <w:lang w:val="es-ES"/>
              </w:rPr>
              <w:t xml:space="preserve">, ING BANK, a Branch of ING-DiBa AG como entidad financiadora bajo el Contrato de Financiación Auxiliar (tal y como dicho término se define a continuación) junto con sus sucesivos cesionarios y/o sucesores en cada momento serán conjuntamente denominadas las </w:t>
            </w:r>
            <w:r w:rsidRPr="00722CDA">
              <w:rPr>
                <w:b/>
                <w:noProof/>
                <w:lang w:val="es-ES"/>
              </w:rPr>
              <w:t xml:space="preserve">Entidades Financiadoras </w:t>
            </w:r>
            <w:r w:rsidRPr="00722CDA">
              <w:rPr>
                <w:noProof/>
                <w:lang w:val="es-ES"/>
              </w:rPr>
              <w:t>y, cada una de ellas, una</w:t>
            </w:r>
            <w:r w:rsidRPr="00722CDA">
              <w:rPr>
                <w:b/>
                <w:noProof/>
                <w:lang w:val="es-ES"/>
              </w:rPr>
              <w:t xml:space="preserve"> Entidad Financiadora</w:t>
            </w:r>
            <w:r w:rsidRPr="00722CDA">
              <w:rPr>
                <w:noProof/>
                <w:lang w:val="es-ES"/>
              </w:rPr>
              <w:t xml:space="preserve">. </w:t>
            </w:r>
          </w:p>
        </w:tc>
        <w:tc>
          <w:tcPr>
            <w:tcW w:w="2500" w:type="pct"/>
            <w:shd w:val="clear" w:color="auto" w:fill="auto"/>
          </w:tcPr>
          <w:p w14:paraId="09D31C02" w14:textId="33F78E9C" w:rsidR="000D089E" w:rsidRPr="00722CDA" w:rsidRDefault="000D089E" w:rsidP="000D089E">
            <w:pPr>
              <w:pStyle w:val="AODocTxt"/>
              <w:rPr>
                <w:noProof/>
              </w:rPr>
            </w:pPr>
            <w:r w:rsidRPr="00722CDA">
              <w:t xml:space="preserve">Hereinafter, the Initial ACF Lenders, the Initial MRF Lenders, the Initial LF Lenders, the Original IBFA Lenders, the Original IFA Lenders, ING BANK, a Branch of ING-DiBa AG as lender under the Ancillary Facility Agreement (as this term is defined below) together with each of their assignees and/or successors from time to time shall be jointly referred to as the </w:t>
            </w:r>
            <w:r w:rsidRPr="00722CDA">
              <w:rPr>
                <w:b/>
              </w:rPr>
              <w:t xml:space="preserve">Lenders </w:t>
            </w:r>
            <w:r w:rsidRPr="00722CDA">
              <w:t xml:space="preserve">and each of them a </w:t>
            </w:r>
            <w:r w:rsidRPr="00722CDA">
              <w:rPr>
                <w:b/>
              </w:rPr>
              <w:t>Lender</w:t>
            </w:r>
            <w:r w:rsidRPr="00722CDA">
              <w:t xml:space="preserve">. </w:t>
            </w:r>
          </w:p>
        </w:tc>
      </w:tr>
      <w:tr w:rsidR="000D089E" w:rsidRPr="009A6BDC" w14:paraId="15E596F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5683F79" w14:textId="1BAA82DD" w:rsidR="000D089E" w:rsidRPr="00BD20D5" w:rsidRDefault="000D089E" w:rsidP="000D089E">
            <w:pPr>
              <w:pStyle w:val="AODocTxt"/>
              <w:rPr>
                <w:lang w:val="es-ES"/>
              </w:rPr>
            </w:pPr>
            <w:r w:rsidRPr="00BD20D5">
              <w:rPr>
                <w:lang w:val="es-ES"/>
              </w:rPr>
              <w:t xml:space="preserve">En adelante, las Entidades Financiadoras, </w:t>
            </w:r>
            <w:r>
              <w:rPr>
                <w:lang w:val="es-ES"/>
              </w:rPr>
              <w:t>las Compradoras Originales</w:t>
            </w:r>
            <w:r w:rsidRPr="00BD20D5">
              <w:rPr>
                <w:lang w:val="es-ES"/>
              </w:rPr>
              <w:t xml:space="preserve">, </w:t>
            </w:r>
            <w:r>
              <w:rPr>
                <w:lang w:val="es-ES"/>
              </w:rPr>
              <w:t xml:space="preserve">las Nuevas Compradoras de Bonos, las Entidades de Cobertura Originales, las Entidades Financiadoras LF 2023, las Entidades Financiadoras ACF 2024, las Entidades Financiadoras </w:t>
            </w:r>
            <w:proofErr w:type="spellStart"/>
            <w:r>
              <w:rPr>
                <w:lang w:val="es-ES"/>
              </w:rPr>
              <w:t>Revolving</w:t>
            </w:r>
            <w:proofErr w:type="spellEnd"/>
            <w:r>
              <w:rPr>
                <w:lang w:val="es-ES"/>
              </w:rPr>
              <w:t xml:space="preserve"> MRF 2024, las Nuevas Entidades de Cobertura, las Entidades Financiadoras ACF 2025, las </w:t>
            </w:r>
            <w:r w:rsidRPr="00216294">
              <w:rPr>
                <w:bCs/>
                <w:lang w:val="es-ES"/>
              </w:rPr>
              <w:t>Nuevas</w:t>
            </w:r>
            <w:r w:rsidRPr="00220A90">
              <w:rPr>
                <w:bCs/>
                <w:lang w:val="es-ES"/>
              </w:rPr>
              <w:t xml:space="preserve"> </w:t>
            </w:r>
            <w:r w:rsidRPr="00216294">
              <w:rPr>
                <w:bCs/>
                <w:lang w:val="es-ES"/>
              </w:rPr>
              <w:t>Compradoras de Bonos 2025</w:t>
            </w:r>
            <w:r>
              <w:rPr>
                <w:bCs/>
                <w:lang w:val="es-ES"/>
              </w:rPr>
              <w:t xml:space="preserve">, </w:t>
            </w:r>
            <w:r w:rsidRPr="005730B2">
              <w:rPr>
                <w:noProof/>
                <w:lang w:val="es-ES"/>
              </w:rPr>
              <w:t>ING BANK, a Branch of ING-DiBa AG</w:t>
            </w:r>
            <w:r>
              <w:rPr>
                <w:noProof/>
                <w:lang w:val="es-ES"/>
              </w:rPr>
              <w:t xml:space="preserve"> como entidad financiadora bajo el Contrato de Financiación Auxiliar (tal y como dicho término se define a continuación)</w:t>
            </w:r>
            <w:r>
              <w:rPr>
                <w:lang w:val="es-ES"/>
              </w:rPr>
              <w:t xml:space="preserve"> y, una vez </w:t>
            </w:r>
            <w:r w:rsidRPr="00BD20D5">
              <w:rPr>
                <w:noProof/>
                <w:lang w:val="es"/>
              </w:rPr>
              <w:t xml:space="preserve">producida la extensión automática prevista en la </w:t>
            </w:r>
            <w:r w:rsidRPr="001B3BCC">
              <w:rPr>
                <w:noProof/>
                <w:lang w:val="es"/>
              </w:rPr>
              <w:t>Cláusula</w:t>
            </w:r>
            <w:r>
              <w:rPr>
                <w:noProof/>
                <w:lang w:val="es"/>
              </w:rPr>
              <w:t xml:space="preserve"> 3</w:t>
            </w:r>
            <w:r w:rsidRPr="00BD20D5">
              <w:rPr>
                <w:noProof/>
                <w:lang w:val="es"/>
              </w:rPr>
              <w:t xml:space="preserve"> posterior</w:t>
            </w:r>
            <w:r w:rsidRPr="00A6166A">
              <w:rPr>
                <w:noProof/>
                <w:lang w:val="es-ES"/>
              </w:rPr>
              <w:t xml:space="preserve">, las </w:t>
            </w:r>
            <w:r>
              <w:rPr>
                <w:noProof/>
                <w:lang w:val="es-ES"/>
              </w:rPr>
              <w:t>Nuevas Partes Garantizadas</w:t>
            </w:r>
            <w:r>
              <w:rPr>
                <w:lang w:val="es-ES"/>
              </w:rPr>
              <w:t xml:space="preserve"> y cualquier entidad que en cada momento tenga la consideración de parte garantizada (</w:t>
            </w:r>
            <w:proofErr w:type="spellStart"/>
            <w:r w:rsidRPr="004B2860">
              <w:rPr>
                <w:i/>
                <w:lang w:val="es-ES"/>
              </w:rPr>
              <w:t>Secured</w:t>
            </w:r>
            <w:proofErr w:type="spellEnd"/>
            <w:r w:rsidRPr="004B2860">
              <w:rPr>
                <w:i/>
                <w:lang w:val="es-ES"/>
              </w:rPr>
              <w:t xml:space="preserve"> </w:t>
            </w:r>
            <w:proofErr w:type="spellStart"/>
            <w:r w:rsidRPr="004B2860">
              <w:rPr>
                <w:i/>
                <w:lang w:val="es-ES"/>
              </w:rPr>
              <w:t>Creditor</w:t>
            </w:r>
            <w:proofErr w:type="spellEnd"/>
            <w:r>
              <w:rPr>
                <w:lang w:val="es-ES"/>
              </w:rPr>
              <w:t>) bajo el Contrato entre Acreedores (incluyendo, sin limitación, las Compradoras de Bonos (tal y como dicho término se encuentra definido en el la presente Póliza))</w:t>
            </w:r>
            <w:r w:rsidRPr="00BD20D5">
              <w:rPr>
                <w:lang w:val="es-ES"/>
              </w:rPr>
              <w:t xml:space="preserve">, serán denominadas de forma conjunta las </w:t>
            </w:r>
            <w:r w:rsidRPr="00BD20D5">
              <w:rPr>
                <w:b/>
                <w:lang w:val="es-ES"/>
              </w:rPr>
              <w:t>Partes Garantizadas</w:t>
            </w:r>
            <w:r w:rsidRPr="00BD20D5">
              <w:rPr>
                <w:lang w:val="es-ES"/>
              </w:rPr>
              <w:t xml:space="preserve"> y cada una de ellas una </w:t>
            </w:r>
            <w:r w:rsidRPr="00BD20D5">
              <w:rPr>
                <w:b/>
                <w:lang w:val="es-ES"/>
              </w:rPr>
              <w:t>Parte Garantizada</w:t>
            </w:r>
            <w:r w:rsidRPr="00BD20D5">
              <w:rPr>
                <w:lang w:val="es-ES"/>
              </w:rPr>
              <w:t>.</w:t>
            </w:r>
            <w:r>
              <w:rPr>
                <w:lang w:val="es-ES"/>
              </w:rPr>
              <w:t xml:space="preserve"> </w:t>
            </w:r>
          </w:p>
        </w:tc>
        <w:tc>
          <w:tcPr>
            <w:tcW w:w="2500" w:type="pct"/>
            <w:shd w:val="clear" w:color="auto" w:fill="auto"/>
          </w:tcPr>
          <w:p w14:paraId="1B57E47F" w14:textId="1BA81E99" w:rsidR="000D089E" w:rsidRPr="00BD20D5" w:rsidRDefault="000D089E" w:rsidP="000D089E">
            <w:pPr>
              <w:pStyle w:val="AODocTxt"/>
            </w:pPr>
            <w:r w:rsidRPr="00BD20D5">
              <w:t xml:space="preserve">Hereinafter, the Lenders, the </w:t>
            </w:r>
            <w:r>
              <w:t>Original Purchasers</w:t>
            </w:r>
            <w:r w:rsidRPr="00BD20D5">
              <w:t xml:space="preserve">, </w:t>
            </w:r>
            <w:r>
              <w:t>the New Note Purchasers, the</w:t>
            </w:r>
            <w:r w:rsidRPr="00BD20D5">
              <w:t xml:space="preserve"> </w:t>
            </w:r>
            <w:r>
              <w:t xml:space="preserve">Original </w:t>
            </w:r>
            <w:r w:rsidRPr="00BD20D5">
              <w:t>Hedge Counterparties</w:t>
            </w:r>
            <w:r>
              <w:t xml:space="preserve">, </w:t>
            </w:r>
            <w:r w:rsidRPr="003A1C6A">
              <w:t>the LF Lenders 2023,</w:t>
            </w:r>
            <w:r>
              <w:t xml:space="preserve"> </w:t>
            </w:r>
            <w:r w:rsidRPr="00C76890">
              <w:t>the ACF Lenders 2024</w:t>
            </w:r>
            <w:r>
              <w:t xml:space="preserve">, </w:t>
            </w:r>
            <w:r w:rsidRPr="00C76890">
              <w:t>the MRF Revolving Lenders 2024</w:t>
            </w:r>
            <w:r>
              <w:t xml:space="preserve">, the New Hedging Counterparties, </w:t>
            </w:r>
            <w:r w:rsidRPr="00C76890">
              <w:t>the ACF Lenders 202</w:t>
            </w:r>
            <w:r>
              <w:t xml:space="preserve">5, the New Note Purchasers 2025, </w:t>
            </w:r>
            <w:r w:rsidRPr="005730B2">
              <w:t>ING BANK, a Branch of ING-DiBa AG</w:t>
            </w:r>
            <w:r>
              <w:t xml:space="preserve"> as lender under the Ancillary Facility Agreement (as this term is defined below)</w:t>
            </w:r>
            <w:r w:rsidRPr="00BD20D5">
              <w:t xml:space="preserve"> and, once the automatic extension foreseen in </w:t>
            </w:r>
            <w:r w:rsidRPr="001B3BCC">
              <w:t>Clause</w:t>
            </w:r>
            <w:r>
              <w:t xml:space="preserve"> 3 </w:t>
            </w:r>
            <w:r w:rsidRPr="00BD20D5">
              <w:t>below is effected,</w:t>
            </w:r>
            <w:r>
              <w:t xml:space="preserve"> the New Secured Parties</w:t>
            </w:r>
            <w:r>
              <w:rPr>
                <w:noProof/>
              </w:rPr>
              <w:t xml:space="preserve"> </w:t>
            </w:r>
            <w:r>
              <w:t xml:space="preserve">and any other entity holding at any moment the condition of Secured Party under the STID (including, without limitation, the Notes Purchasers (as this term is defined in this Deed)), </w:t>
            </w:r>
            <w:r w:rsidRPr="00BD20D5">
              <w:t xml:space="preserve">shall be jointly referred to as the </w:t>
            </w:r>
            <w:r w:rsidRPr="00BD20D5">
              <w:rPr>
                <w:b/>
              </w:rPr>
              <w:t>Secured Parties</w:t>
            </w:r>
            <w:r w:rsidRPr="00BD20D5">
              <w:t xml:space="preserve"> and each of them a </w:t>
            </w:r>
            <w:r w:rsidRPr="00BD20D5">
              <w:rPr>
                <w:b/>
              </w:rPr>
              <w:t>Secured Party</w:t>
            </w:r>
            <w:r>
              <w:t>.</w:t>
            </w:r>
          </w:p>
        </w:tc>
      </w:tr>
      <w:tr w:rsidR="000D089E" w:rsidRPr="00901F23" w14:paraId="1979658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3DCFF09" w14:textId="77777777" w:rsidR="000D089E" w:rsidRPr="00901F23" w:rsidRDefault="000D089E" w:rsidP="000D089E">
            <w:pPr>
              <w:pStyle w:val="AODocTxt"/>
            </w:pPr>
            <w:r w:rsidRPr="00847DF9">
              <w:rPr>
                <w:b/>
              </w:rPr>
              <w:t xml:space="preserve">Y de </w:t>
            </w:r>
            <w:proofErr w:type="spellStart"/>
            <w:r w:rsidRPr="00847DF9">
              <w:rPr>
                <w:b/>
              </w:rPr>
              <w:t>otra</w:t>
            </w:r>
            <w:proofErr w:type="spellEnd"/>
            <w:r w:rsidRPr="00847DF9">
              <w:rPr>
                <w:b/>
              </w:rPr>
              <w:t xml:space="preserve"> </w:t>
            </w:r>
            <w:proofErr w:type="spellStart"/>
            <w:r w:rsidRPr="00847DF9">
              <w:rPr>
                <w:b/>
              </w:rPr>
              <w:t>parte</w:t>
            </w:r>
            <w:proofErr w:type="spellEnd"/>
            <w:r w:rsidRPr="00901F23">
              <w:t>,</w:t>
            </w:r>
          </w:p>
        </w:tc>
        <w:tc>
          <w:tcPr>
            <w:tcW w:w="2500" w:type="pct"/>
            <w:shd w:val="clear" w:color="auto" w:fill="auto"/>
          </w:tcPr>
          <w:p w14:paraId="7030C16D" w14:textId="77777777" w:rsidR="000D089E" w:rsidRPr="00901F23" w:rsidRDefault="000D089E" w:rsidP="000D089E">
            <w:pPr>
              <w:pStyle w:val="AODocTxt"/>
            </w:pPr>
            <w:r w:rsidRPr="00847DF9">
              <w:rPr>
                <w:b/>
              </w:rPr>
              <w:t>And, on the other hand</w:t>
            </w:r>
            <w:r w:rsidRPr="00901F23">
              <w:t>,</w:t>
            </w:r>
          </w:p>
        </w:tc>
      </w:tr>
      <w:tr w:rsidR="000D089E" w:rsidRPr="00B21AD7" w14:paraId="06FD018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1392B2F" w14:textId="77777777" w:rsidR="000D089E" w:rsidRPr="00220C9C" w:rsidRDefault="000D089E" w:rsidP="000D089E">
            <w:pPr>
              <w:pStyle w:val="AO1"/>
              <w:rPr>
                <w:lang w:val="es-ES"/>
              </w:rPr>
            </w:pPr>
            <w:r w:rsidRPr="00220C9C">
              <w:rPr>
                <w:b/>
                <w:lang w:val="es-ES"/>
              </w:rPr>
              <w:lastRenderedPageBreak/>
              <w:t>BEACON RAIL FINANCE IBERIA, S.L.U.</w:t>
            </w:r>
            <w:r w:rsidRPr="00220C9C">
              <w:rPr>
                <w:lang w:val="es-ES"/>
              </w:rPr>
              <w:t xml:space="preserve"> (en adelante la </w:t>
            </w:r>
            <w:r w:rsidRPr="00220C9C">
              <w:rPr>
                <w:b/>
                <w:lang w:val="es-ES"/>
              </w:rPr>
              <w:t>Sociedad</w:t>
            </w:r>
            <w:r w:rsidRPr="00220C9C">
              <w:rPr>
                <w:lang w:val="es-ES"/>
              </w:rPr>
              <w:t>).</w:t>
            </w:r>
          </w:p>
        </w:tc>
        <w:tc>
          <w:tcPr>
            <w:tcW w:w="2500" w:type="pct"/>
            <w:shd w:val="clear" w:color="auto" w:fill="auto"/>
          </w:tcPr>
          <w:p w14:paraId="693A91EC" w14:textId="77777777" w:rsidR="000D089E" w:rsidRPr="00220C9C" w:rsidRDefault="000D089E" w:rsidP="000D089E">
            <w:pPr>
              <w:pStyle w:val="AODocTxt"/>
              <w:numPr>
                <w:ilvl w:val="0"/>
                <w:numId w:val="33"/>
              </w:numPr>
              <w:ind w:hanging="720"/>
            </w:pPr>
            <w:r w:rsidRPr="00C441D8">
              <w:rPr>
                <w:b/>
                <w:bCs/>
              </w:rPr>
              <w:t>BEACON RAIL FINANCE IBERIA, S.L.U.</w:t>
            </w:r>
            <w:r w:rsidRPr="00316E16">
              <w:rPr>
                <w:b/>
                <w:bCs/>
              </w:rPr>
              <w:t xml:space="preserve"> </w:t>
            </w:r>
            <w:r w:rsidRPr="00C441D8">
              <w:t xml:space="preserve">(hereinafter, the </w:t>
            </w:r>
            <w:r w:rsidRPr="00C441D8">
              <w:rPr>
                <w:b/>
                <w:bCs/>
              </w:rPr>
              <w:t>Company</w:t>
            </w:r>
            <w:r w:rsidRPr="00C441D8">
              <w:t>).</w:t>
            </w:r>
          </w:p>
        </w:tc>
      </w:tr>
      <w:tr w:rsidR="000D089E" w:rsidRPr="00901F23" w14:paraId="4DEA78B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32F3B28" w14:textId="77777777" w:rsidR="000D089E" w:rsidRPr="00220C9C" w:rsidRDefault="000D089E" w:rsidP="000D089E">
            <w:pPr>
              <w:pStyle w:val="AOTitle"/>
            </w:pPr>
            <w:r w:rsidRPr="00220C9C">
              <w:t>EXPONEN</w:t>
            </w:r>
          </w:p>
        </w:tc>
        <w:tc>
          <w:tcPr>
            <w:tcW w:w="2500" w:type="pct"/>
            <w:shd w:val="clear" w:color="auto" w:fill="auto"/>
          </w:tcPr>
          <w:p w14:paraId="35FD3517" w14:textId="77777777" w:rsidR="000D089E" w:rsidRPr="00220C9C" w:rsidRDefault="000D089E" w:rsidP="000D089E">
            <w:pPr>
              <w:pStyle w:val="AOTitle"/>
            </w:pPr>
            <w:r w:rsidRPr="00220C9C">
              <w:t>WHEREAS</w:t>
            </w:r>
          </w:p>
        </w:tc>
      </w:tr>
      <w:tr w:rsidR="000D089E" w:rsidRPr="00901F23" w14:paraId="4DE5863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726CC25" w14:textId="77777777" w:rsidR="000D089E" w:rsidRPr="00E53971" w:rsidRDefault="000D089E" w:rsidP="000D089E">
            <w:pPr>
              <w:pStyle w:val="AOA"/>
              <w:rPr>
                <w:lang w:val="es-ES"/>
              </w:rPr>
            </w:pPr>
            <w:r w:rsidRPr="0024367D">
              <w:rPr>
                <w:lang w:val="es-ES"/>
              </w:rPr>
              <w:t xml:space="preserve">Que con fecha 15 de junio de 2019 se suscribió un </w:t>
            </w:r>
            <w:r w:rsidRPr="00AE2736">
              <w:rPr>
                <w:lang w:val="es" w:eastAsia="es-ES"/>
              </w:rPr>
              <w:t>contrato de crédito autorizado inicial</w:t>
            </w:r>
            <w:r>
              <w:rPr>
                <w:lang w:val="es-ES"/>
              </w:rPr>
              <w:t xml:space="preserve"> </w:t>
            </w:r>
            <w:r w:rsidRPr="0024367D">
              <w:rPr>
                <w:lang w:val="es-ES"/>
              </w:rPr>
              <w:t>(</w:t>
            </w:r>
            <w:proofErr w:type="spellStart"/>
            <w:r w:rsidRPr="0024367D">
              <w:rPr>
                <w:i/>
                <w:lang w:val="es-ES"/>
              </w:rPr>
              <w:t>Initial</w:t>
            </w:r>
            <w:proofErr w:type="spellEnd"/>
            <w:r w:rsidRPr="0024367D">
              <w:rPr>
                <w:i/>
                <w:lang w:val="es-ES"/>
              </w:rPr>
              <w:t xml:space="preserve"> </w:t>
            </w:r>
            <w:proofErr w:type="spellStart"/>
            <w:r w:rsidRPr="0024367D">
              <w:rPr>
                <w:i/>
                <w:lang w:val="es-ES"/>
              </w:rPr>
              <w:t>Authorised</w:t>
            </w:r>
            <w:proofErr w:type="spellEnd"/>
            <w:r w:rsidRPr="0024367D">
              <w:rPr>
                <w:i/>
                <w:lang w:val="es-ES"/>
              </w:rPr>
              <w:t xml:space="preserve"> </w:t>
            </w:r>
            <w:proofErr w:type="spellStart"/>
            <w:r w:rsidRPr="0024367D">
              <w:rPr>
                <w:i/>
                <w:lang w:val="es-ES"/>
              </w:rPr>
              <w:t>Credit</w:t>
            </w:r>
            <w:proofErr w:type="spellEnd"/>
            <w:r w:rsidRPr="0024367D">
              <w:rPr>
                <w:i/>
                <w:lang w:val="es-ES"/>
              </w:rPr>
              <w:t xml:space="preserve"> Facilities </w:t>
            </w:r>
            <w:proofErr w:type="spellStart"/>
            <w:r w:rsidRPr="0024367D">
              <w:rPr>
                <w:i/>
                <w:lang w:val="es-ES"/>
              </w:rPr>
              <w:t>Agreement</w:t>
            </w:r>
            <w:proofErr w:type="spellEnd"/>
            <w:r w:rsidRPr="0024367D">
              <w:rPr>
                <w:lang w:val="es-ES"/>
              </w:rPr>
              <w:t xml:space="preserve">) por importe máximo </w:t>
            </w:r>
            <w:r>
              <w:rPr>
                <w:lang w:val="es-ES"/>
              </w:rPr>
              <w:t xml:space="preserve">agregado </w:t>
            </w:r>
            <w:r w:rsidRPr="0024367D">
              <w:rPr>
                <w:lang w:val="es-ES"/>
              </w:rPr>
              <w:t>de €</w:t>
            </w:r>
            <w:r>
              <w:rPr>
                <w:lang w:val="es-ES"/>
              </w:rPr>
              <w:t xml:space="preserve">413.907.960 y </w:t>
            </w:r>
            <w:r w:rsidRPr="00150063">
              <w:rPr>
                <w:lang w:val="es-ES" w:eastAsia="en-GB" w:bidi="en-GB"/>
              </w:rPr>
              <w:t>£151</w:t>
            </w:r>
            <w:r>
              <w:rPr>
                <w:lang w:val="es-ES" w:eastAsia="en-GB" w:bidi="en-GB"/>
              </w:rPr>
              <w:t>.986.</w:t>
            </w:r>
            <w:r w:rsidRPr="00150063">
              <w:rPr>
                <w:lang w:val="es-ES" w:eastAsia="en-GB" w:bidi="en-GB"/>
              </w:rPr>
              <w:t>235</w:t>
            </w:r>
            <w:r w:rsidRPr="0024367D">
              <w:rPr>
                <w:lang w:val="es-ES"/>
              </w:rPr>
              <w:t xml:space="preserve"> sujeto a ley inglesa, por, entre otros, Beacon Finco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w:t>
            </w:r>
            <w:r w:rsidRPr="0024367D">
              <w:rPr>
                <w:b/>
                <w:lang w:val="es-ES"/>
              </w:rPr>
              <w:t xml:space="preserve"> </w:t>
            </w:r>
            <w:r w:rsidRPr="0024367D">
              <w:rPr>
                <w:lang w:val="es-ES"/>
              </w:rPr>
              <w:t>como emisor (</w:t>
            </w:r>
            <w:proofErr w:type="spellStart"/>
            <w:r w:rsidRPr="0024367D">
              <w:rPr>
                <w:i/>
                <w:lang w:val="es-ES"/>
              </w:rPr>
              <w:t>Issuer</w:t>
            </w:r>
            <w:proofErr w:type="spellEnd"/>
            <w:r w:rsidRPr="0024367D">
              <w:rPr>
                <w:lang w:val="es-ES"/>
              </w:rPr>
              <w:t xml:space="preserve">), </w:t>
            </w:r>
            <w:r>
              <w:rPr>
                <w:lang w:val="es-ES"/>
              </w:rPr>
              <w:t>las Entidades Coordinadoras Iniciales ACF</w:t>
            </w:r>
            <w:r w:rsidRPr="00AE2736">
              <w:rPr>
                <w:lang w:val="es" w:eastAsia="es-ES"/>
              </w:rPr>
              <w:t xml:space="preserve"> </w:t>
            </w:r>
            <w:r w:rsidRPr="0024367D">
              <w:rPr>
                <w:lang w:val="es-ES"/>
              </w:rPr>
              <w:t>(</w:t>
            </w:r>
            <w:proofErr w:type="spellStart"/>
            <w:r w:rsidRPr="0024367D">
              <w:rPr>
                <w:i/>
                <w:lang w:val="es-ES"/>
              </w:rPr>
              <w:t>Initial</w:t>
            </w:r>
            <w:proofErr w:type="spellEnd"/>
            <w:r w:rsidRPr="0024367D">
              <w:rPr>
                <w:i/>
                <w:lang w:val="es-ES"/>
              </w:rPr>
              <w:t xml:space="preserve"> ACF </w:t>
            </w:r>
            <w:proofErr w:type="spellStart"/>
            <w:r w:rsidRPr="0024367D">
              <w:rPr>
                <w:i/>
                <w:lang w:val="es-ES"/>
              </w:rPr>
              <w:t>Arrangers</w:t>
            </w:r>
            <w:proofErr w:type="spellEnd"/>
            <w:r>
              <w:rPr>
                <w:lang w:val="es-ES"/>
              </w:rPr>
              <w:t xml:space="preserve">), las </w:t>
            </w:r>
            <w:r w:rsidRPr="009F7053">
              <w:rPr>
                <w:lang w:val="es-ES"/>
              </w:rPr>
              <w:t>Entidades Financiadoras</w:t>
            </w:r>
            <w:r>
              <w:rPr>
                <w:lang w:val="es-ES"/>
              </w:rPr>
              <w:t xml:space="preserve"> Iniciales</w:t>
            </w:r>
            <w:r w:rsidRPr="009F7053">
              <w:rPr>
                <w:lang w:val="es-ES"/>
              </w:rPr>
              <w:t xml:space="preserve"> </w:t>
            </w:r>
            <w:r>
              <w:rPr>
                <w:lang w:val="es-ES"/>
              </w:rPr>
              <w:t xml:space="preserve">ACF </w:t>
            </w:r>
            <w:r w:rsidRPr="0024367D">
              <w:rPr>
                <w:lang w:val="es-ES"/>
              </w:rPr>
              <w:t>(</w:t>
            </w:r>
            <w:proofErr w:type="spellStart"/>
            <w:r w:rsidRPr="0024367D">
              <w:rPr>
                <w:i/>
                <w:lang w:val="es-ES" w:eastAsia="en-GB" w:bidi="en-GB"/>
              </w:rPr>
              <w:t>Initial</w:t>
            </w:r>
            <w:proofErr w:type="spellEnd"/>
            <w:r w:rsidRPr="0024367D">
              <w:rPr>
                <w:i/>
                <w:lang w:val="es-ES" w:eastAsia="en-GB" w:bidi="en-GB"/>
              </w:rPr>
              <w:t xml:space="preserve"> ACF </w:t>
            </w:r>
            <w:proofErr w:type="spellStart"/>
            <w:r w:rsidRPr="0024367D">
              <w:rPr>
                <w:i/>
                <w:lang w:val="es-ES" w:eastAsia="en-GB" w:bidi="en-GB"/>
              </w:rPr>
              <w:t>Lenders</w:t>
            </w:r>
            <w:proofErr w:type="spellEnd"/>
            <w:r>
              <w:rPr>
                <w:lang w:val="es-ES"/>
              </w:rPr>
              <w:t xml:space="preserve">), el </w:t>
            </w:r>
            <w:r w:rsidRPr="009F7053">
              <w:rPr>
                <w:lang w:val="es-ES"/>
              </w:rPr>
              <w:t>Agente Inicial ACF</w:t>
            </w:r>
            <w:r w:rsidRPr="0024367D">
              <w:rPr>
                <w:lang w:val="es-ES"/>
              </w:rPr>
              <w:t xml:space="preserve"> (</w:t>
            </w:r>
            <w:proofErr w:type="spellStart"/>
            <w:r w:rsidRPr="0024367D">
              <w:rPr>
                <w:i/>
                <w:lang w:val="es-ES"/>
              </w:rPr>
              <w:t>Initial</w:t>
            </w:r>
            <w:proofErr w:type="spellEnd"/>
            <w:r w:rsidRPr="0024367D">
              <w:rPr>
                <w:i/>
                <w:lang w:val="es-ES"/>
              </w:rPr>
              <w:t xml:space="preserve"> ACF </w:t>
            </w:r>
            <w:proofErr w:type="spellStart"/>
            <w:r w:rsidRPr="0024367D">
              <w:rPr>
                <w:i/>
                <w:lang w:val="es-ES"/>
              </w:rPr>
              <w:t>Agent</w:t>
            </w:r>
            <w:proofErr w:type="spellEnd"/>
            <w:r w:rsidRPr="0024367D">
              <w:rPr>
                <w:lang w:val="es-ES"/>
              </w:rPr>
              <w:t xml:space="preserve">) y 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 xml:space="preserve">). </w:t>
            </w:r>
            <w:r w:rsidRPr="00E53971">
              <w:rPr>
                <w:lang w:val="es-ES"/>
              </w:rPr>
              <w:t xml:space="preserve">En adelante, el contrato de </w:t>
            </w:r>
            <w:r w:rsidRPr="0024367D">
              <w:rPr>
                <w:lang w:val="es-ES"/>
              </w:rPr>
              <w:t>crédito</w:t>
            </w:r>
            <w:r w:rsidRPr="00E53971">
              <w:rPr>
                <w:lang w:val="es-ES"/>
              </w:rPr>
              <w:t xml:space="preserve">, tal y como el </w:t>
            </w:r>
            <w:r>
              <w:rPr>
                <w:lang w:val="es-ES"/>
              </w:rPr>
              <w:t>m</w:t>
            </w:r>
            <w:r w:rsidRPr="00E53971">
              <w:rPr>
                <w:lang w:val="es-ES"/>
              </w:rPr>
              <w:t xml:space="preserve">ismo sea modificado, </w:t>
            </w:r>
            <w:r>
              <w:rPr>
                <w:lang w:val="es-ES"/>
              </w:rPr>
              <w:t xml:space="preserve">refundido, </w:t>
            </w:r>
            <w:r w:rsidRPr="00E53971">
              <w:rPr>
                <w:lang w:val="es-ES"/>
              </w:rPr>
              <w:t xml:space="preserve">extendido, ratificado y/o complementado en cada </w:t>
            </w:r>
            <w:r>
              <w:rPr>
                <w:lang w:val="es-ES"/>
              </w:rPr>
              <w:t>momento y, en particular, tal y como el mismo fue modificado en fecha 24 de junio de 2019,</w:t>
            </w:r>
            <w:r w:rsidRPr="00E53971">
              <w:rPr>
                <w:lang w:val="es-ES"/>
              </w:rPr>
              <w:t xml:space="preserve"> será referido como el</w:t>
            </w:r>
            <w:r>
              <w:rPr>
                <w:lang w:val="es-ES"/>
              </w:rPr>
              <w:t xml:space="preserve"> </w:t>
            </w:r>
            <w:r w:rsidRPr="009036AA">
              <w:rPr>
                <w:b/>
                <w:lang w:val="es-ES" w:eastAsia="es-ES"/>
              </w:rPr>
              <w:t>C</w:t>
            </w:r>
            <w:proofErr w:type="spellStart"/>
            <w:r w:rsidRPr="009036AA">
              <w:rPr>
                <w:b/>
                <w:lang w:val="es" w:eastAsia="es-ES"/>
              </w:rPr>
              <w:t>ontrato</w:t>
            </w:r>
            <w:proofErr w:type="spellEnd"/>
            <w:r w:rsidRPr="009036AA">
              <w:rPr>
                <w:b/>
                <w:lang w:val="es" w:eastAsia="es-ES"/>
              </w:rPr>
              <w:t xml:space="preserve"> de Crédito Autorizado Inicial</w:t>
            </w:r>
            <w:r>
              <w:rPr>
                <w:lang w:val="es-ES"/>
              </w:rPr>
              <w:t xml:space="preserve"> o el</w:t>
            </w:r>
            <w:r w:rsidRPr="00E53971">
              <w:rPr>
                <w:lang w:val="es-ES"/>
              </w:rPr>
              <w:t xml:space="preserve"> </w:t>
            </w:r>
            <w:r>
              <w:rPr>
                <w:b/>
                <w:lang w:val="es-ES"/>
              </w:rPr>
              <w:t>ACF</w:t>
            </w:r>
            <w:r w:rsidRPr="00E53971">
              <w:rPr>
                <w:lang w:val="es-ES"/>
              </w:rPr>
              <w:t xml:space="preserve">. </w:t>
            </w:r>
          </w:p>
        </w:tc>
        <w:tc>
          <w:tcPr>
            <w:tcW w:w="2500" w:type="pct"/>
            <w:shd w:val="clear" w:color="auto" w:fill="auto"/>
          </w:tcPr>
          <w:p w14:paraId="667266FB" w14:textId="77777777" w:rsidR="000D089E" w:rsidRPr="00901F23" w:rsidRDefault="000D089E" w:rsidP="000D089E">
            <w:pPr>
              <w:pStyle w:val="AODocTxt"/>
              <w:numPr>
                <w:ilvl w:val="0"/>
                <w:numId w:val="39"/>
              </w:numPr>
              <w:ind w:hanging="720"/>
            </w:pPr>
            <w:r w:rsidRPr="00647C7A">
              <w:t xml:space="preserve">That, on 15 June 2019, an English law initial authorised credit facilities agreement for a </w:t>
            </w:r>
            <w:r w:rsidRPr="00901F23">
              <w:t xml:space="preserve">maximum </w:t>
            </w:r>
            <w:r w:rsidRPr="00647C7A">
              <w:rPr>
                <w:lang w:eastAsia="en-GB" w:bidi="en-GB"/>
              </w:rPr>
              <w:t>aggregate amount</w:t>
            </w:r>
            <w:r w:rsidRPr="00901F23">
              <w:t xml:space="preserve"> of </w:t>
            </w:r>
            <w:r w:rsidRPr="00416E19">
              <w:t>€</w:t>
            </w:r>
            <w:r w:rsidRPr="00647C7A">
              <w:t>4</w:t>
            </w:r>
            <w:r>
              <w:t>13,907,</w:t>
            </w:r>
            <w:r w:rsidRPr="00647C7A">
              <w:t>960</w:t>
            </w:r>
            <w:r>
              <w:t xml:space="preserve"> and</w:t>
            </w:r>
            <w:r w:rsidRPr="00901F23">
              <w:t xml:space="preserve"> </w:t>
            </w:r>
            <w:r w:rsidRPr="00647C7A">
              <w:rPr>
                <w:lang w:eastAsia="en-GB" w:bidi="en-GB"/>
              </w:rPr>
              <w:t>£151</w:t>
            </w:r>
            <w:r>
              <w:rPr>
                <w:lang w:eastAsia="en-GB" w:bidi="en-GB"/>
              </w:rPr>
              <w:t>,</w:t>
            </w:r>
            <w:r w:rsidRPr="00647C7A">
              <w:rPr>
                <w:lang w:eastAsia="en-GB" w:bidi="en-GB"/>
              </w:rPr>
              <w:t>986</w:t>
            </w:r>
            <w:r>
              <w:rPr>
                <w:lang w:eastAsia="en-GB" w:bidi="en-GB"/>
              </w:rPr>
              <w:t>,</w:t>
            </w:r>
            <w:r w:rsidRPr="00647C7A">
              <w:rPr>
                <w:lang w:eastAsia="en-GB" w:bidi="en-GB"/>
              </w:rPr>
              <w:t>235</w:t>
            </w:r>
            <w:r>
              <w:rPr>
                <w:lang w:eastAsia="en-GB" w:bidi="en-GB"/>
              </w:rPr>
              <w:t xml:space="preserve"> </w:t>
            </w:r>
            <w:r>
              <w:t>was</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the Issuer</w:t>
            </w:r>
            <w:r w:rsidRPr="00901F23">
              <w:t xml:space="preserve">, </w:t>
            </w:r>
            <w:r>
              <w:t xml:space="preserve">the Initial ACF Arrangers, the </w:t>
            </w:r>
            <w:r w:rsidRPr="006477E1">
              <w:rPr>
                <w:lang w:eastAsia="en-GB" w:bidi="en-GB"/>
              </w:rPr>
              <w:t>Initial ACF Lenders</w:t>
            </w:r>
            <w:r w:rsidRPr="00901F23">
              <w:t xml:space="preserve">, </w:t>
            </w:r>
            <w:r>
              <w:t xml:space="preserve">the Initial ACF </w:t>
            </w:r>
            <w:r w:rsidRPr="00901F23">
              <w:t xml:space="preserve">Agent and </w:t>
            </w:r>
            <w:r>
              <w:t xml:space="preserve">Beacon Rail Leasing </w:t>
            </w:r>
            <w:proofErr w:type="spellStart"/>
            <w:r>
              <w:t>S.à</w:t>
            </w:r>
            <w:proofErr w:type="spellEnd"/>
            <w:r>
              <w:t xml:space="preserve"> </w:t>
            </w:r>
            <w:proofErr w:type="spellStart"/>
            <w:r>
              <w:t>r.l</w:t>
            </w:r>
            <w:proofErr w:type="spellEnd"/>
            <w:r>
              <w:t xml:space="preserve">. as the </w:t>
            </w:r>
            <w:r w:rsidRPr="00901F23">
              <w:t xml:space="preserve">Security </w:t>
            </w:r>
            <w:r>
              <w:t xml:space="preserve">Group </w:t>
            </w:r>
            <w:r w:rsidRPr="00901F23">
              <w:t>Agent</w:t>
            </w:r>
            <w:r>
              <w:t>. H</w:t>
            </w:r>
            <w:r w:rsidRPr="00901F23">
              <w:t xml:space="preserve">ereinafter, the </w:t>
            </w:r>
            <w:r w:rsidRPr="007A5BF4">
              <w:t>initial authorised credit facilities agreement</w:t>
            </w:r>
            <w:r w:rsidRPr="00901F23">
              <w:t>, as it may be amended,</w:t>
            </w:r>
            <w:r>
              <w:t xml:space="preserve"> consolidated,</w:t>
            </w:r>
            <w:r w:rsidRPr="00901F23">
              <w:t xml:space="preserve"> extended, ratified and/or </w:t>
            </w:r>
            <w:r>
              <w:t>supplemented from time to time and</w:t>
            </w:r>
            <w:proofErr w:type="gramStart"/>
            <w:r>
              <w:t>, in particular, as</w:t>
            </w:r>
            <w:proofErr w:type="gramEnd"/>
            <w:r>
              <w:t xml:space="preserve"> it has been </w:t>
            </w:r>
            <w:r w:rsidRPr="00901F23">
              <w:t>amended</w:t>
            </w:r>
            <w:r>
              <w:t xml:space="preserve"> on 24 June 2019,</w:t>
            </w:r>
            <w:r w:rsidRPr="00901F23">
              <w:t xml:space="preserve"> shall be referred to as the</w:t>
            </w:r>
            <w:r w:rsidRPr="00647C7A">
              <w:rPr>
                <w:i/>
              </w:rPr>
              <w:t xml:space="preserve"> </w:t>
            </w:r>
            <w:r w:rsidRPr="00647C7A">
              <w:rPr>
                <w:b/>
              </w:rPr>
              <w:t>Initial Authorised Credit Facilities Agreement</w:t>
            </w:r>
            <w:r w:rsidRPr="00647C7A">
              <w:t xml:space="preserve"> or the</w:t>
            </w:r>
            <w:r w:rsidRPr="00901F23">
              <w:t xml:space="preserve"> </w:t>
            </w:r>
            <w:r>
              <w:rPr>
                <w:b/>
              </w:rPr>
              <w:t>ACF</w:t>
            </w:r>
            <w:r w:rsidRPr="00901F23">
              <w:t xml:space="preserve">. </w:t>
            </w:r>
          </w:p>
        </w:tc>
      </w:tr>
      <w:tr w:rsidR="000D089E" w:rsidRPr="00973006" w14:paraId="4C4C880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95B06C7" w14:textId="77777777" w:rsidR="000D089E" w:rsidRPr="00973006" w:rsidRDefault="000D089E" w:rsidP="000D089E">
            <w:pPr>
              <w:pStyle w:val="AODocTxtL1"/>
              <w:rPr>
                <w:lang w:val="es-ES"/>
              </w:rPr>
            </w:pPr>
            <w:r w:rsidRPr="00973006">
              <w:rPr>
                <w:lang w:val="es-ES"/>
              </w:rPr>
              <w:t xml:space="preserve">El </w:t>
            </w:r>
            <w:r w:rsidRPr="00973006">
              <w:rPr>
                <w:lang w:val="es-ES" w:eastAsia="es-ES"/>
              </w:rPr>
              <w:t>C</w:t>
            </w:r>
            <w:proofErr w:type="spellStart"/>
            <w:r w:rsidRPr="00973006">
              <w:rPr>
                <w:lang w:val="es" w:eastAsia="es-ES"/>
              </w:rPr>
              <w:t>ontrato</w:t>
            </w:r>
            <w:proofErr w:type="spellEnd"/>
            <w:r w:rsidRPr="00973006">
              <w:rPr>
                <w:lang w:val="es" w:eastAsia="es-ES"/>
              </w:rPr>
              <w:t xml:space="preserve"> de Crédito Autorizado Inicial</w:t>
            </w:r>
            <w:r w:rsidRPr="00973006">
              <w:rPr>
                <w:lang w:val="es-ES"/>
              </w:rPr>
              <w:t xml:space="preserve"> </w:t>
            </w:r>
            <w:r>
              <w:rPr>
                <w:lang w:val="es-ES"/>
              </w:rPr>
              <w:t xml:space="preserve">fue </w:t>
            </w:r>
            <w:r w:rsidRPr="00973006">
              <w:rPr>
                <w:lang w:val="es-ES"/>
              </w:rPr>
              <w:t>elevado a público e</w:t>
            </w:r>
            <w:r>
              <w:rPr>
                <w:lang w:val="es-ES"/>
              </w:rPr>
              <w:t>l</w:t>
            </w:r>
            <w:r w:rsidRPr="00973006">
              <w:rPr>
                <w:lang w:val="es-ES"/>
              </w:rPr>
              <w:t xml:space="preserve"> </w:t>
            </w:r>
            <w:r>
              <w:rPr>
                <w:lang w:val="es-ES"/>
              </w:rPr>
              <w:t>22 de abril de 2021</w:t>
            </w:r>
            <w:r w:rsidRPr="00973006">
              <w:rPr>
                <w:lang w:val="es-ES"/>
              </w:rPr>
              <w:t xml:space="preserve"> en virtud de </w:t>
            </w:r>
            <w:r>
              <w:rPr>
                <w:lang w:val="es-ES"/>
              </w:rPr>
              <w:t>póliza intervenida</w:t>
            </w:r>
            <w:r w:rsidRPr="00973006">
              <w:rPr>
                <w:lang w:val="es-ES"/>
              </w:rPr>
              <w:t xml:space="preserve"> por el Notario </w:t>
            </w:r>
            <w:r>
              <w:rPr>
                <w:lang w:val="es-ES"/>
              </w:rPr>
              <w:t>de Madrid, D. Antonio Luis Reina Gutiérrez</w:t>
            </w:r>
            <w:r w:rsidRPr="00973006">
              <w:rPr>
                <w:lang w:val="es-ES"/>
              </w:rPr>
              <w:t xml:space="preserve">. </w:t>
            </w:r>
          </w:p>
        </w:tc>
        <w:tc>
          <w:tcPr>
            <w:tcW w:w="2500" w:type="pct"/>
            <w:shd w:val="clear" w:color="auto" w:fill="auto"/>
          </w:tcPr>
          <w:p w14:paraId="34200AD6" w14:textId="77777777" w:rsidR="000D089E" w:rsidRPr="00973006" w:rsidRDefault="000D089E" w:rsidP="000D089E">
            <w:pPr>
              <w:pStyle w:val="AODocTxtL1"/>
            </w:pPr>
            <w:r w:rsidRPr="00973006">
              <w:t xml:space="preserve">The Initial Authorised Credit Facilities Agreement </w:t>
            </w:r>
            <w:r>
              <w:t>was</w:t>
            </w:r>
            <w:r w:rsidRPr="00973006">
              <w:t xml:space="preserve"> raised to the status of public document on</w:t>
            </w:r>
            <w:r>
              <w:t xml:space="preserve"> 22 April 2021</w:t>
            </w:r>
            <w:r w:rsidRPr="00973006">
              <w:t xml:space="preserve"> by means of a deed </w:t>
            </w:r>
            <w:r>
              <w:t>intervened by</w:t>
            </w:r>
            <w:r w:rsidRPr="00973006">
              <w:t xml:space="preserve"> the Notary</w:t>
            </w:r>
            <w:r>
              <w:t xml:space="preserve"> of Madrid, Mr. </w:t>
            </w:r>
            <w:r w:rsidRPr="00707E42">
              <w:t>Antonio Luis Reina Gutiérrez</w:t>
            </w:r>
            <w:r w:rsidRPr="00973006">
              <w:t>.</w:t>
            </w:r>
            <w:r w:rsidRPr="00973006">
              <w:rPr>
                <w:b/>
                <w:i/>
              </w:rPr>
              <w:t xml:space="preserve"> </w:t>
            </w:r>
          </w:p>
        </w:tc>
      </w:tr>
      <w:tr w:rsidR="000D089E" w:rsidRPr="00647C7A" w14:paraId="5C08388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F0BA85F" w14:textId="77777777" w:rsidR="000D089E" w:rsidRPr="0024367D" w:rsidRDefault="000D089E" w:rsidP="000D089E">
            <w:pPr>
              <w:pStyle w:val="AOA"/>
              <w:rPr>
                <w:lang w:val="es-ES"/>
              </w:rPr>
            </w:pPr>
            <w:r w:rsidRPr="0024367D">
              <w:rPr>
                <w:lang w:val="es-ES"/>
              </w:rPr>
              <w:t xml:space="preserve">Que con fecha </w:t>
            </w:r>
            <w:r>
              <w:rPr>
                <w:lang w:val="es-ES"/>
              </w:rPr>
              <w:t>24 de junio de 2019</w:t>
            </w:r>
            <w:r w:rsidRPr="0024367D">
              <w:rPr>
                <w:lang w:val="es-ES"/>
              </w:rPr>
              <w:t xml:space="preserve"> se suscribió </w:t>
            </w:r>
            <w:r>
              <w:rPr>
                <w:lang w:val="es-ES"/>
              </w:rPr>
              <w:t>un contrato de financiación auxiliar (</w:t>
            </w:r>
            <w:proofErr w:type="spellStart"/>
            <w:r w:rsidRPr="00285AC7">
              <w:rPr>
                <w:i/>
                <w:lang w:val="es-ES"/>
              </w:rPr>
              <w:t>Ancillary</w:t>
            </w:r>
            <w:proofErr w:type="spellEnd"/>
            <w:r w:rsidRPr="00285AC7">
              <w:rPr>
                <w:i/>
                <w:lang w:val="es-ES"/>
              </w:rPr>
              <w:t xml:space="preserve"> </w:t>
            </w:r>
            <w:proofErr w:type="spellStart"/>
            <w:r w:rsidRPr="00285AC7">
              <w:rPr>
                <w:i/>
                <w:lang w:val="es-ES"/>
              </w:rPr>
              <w:t>Facility</w:t>
            </w:r>
            <w:proofErr w:type="spellEnd"/>
            <w:r w:rsidRPr="00285AC7">
              <w:rPr>
                <w:i/>
                <w:lang w:val="es-ES"/>
              </w:rPr>
              <w:t xml:space="preserve"> </w:t>
            </w:r>
            <w:proofErr w:type="spellStart"/>
            <w:r w:rsidRPr="00285AC7">
              <w:rPr>
                <w:i/>
                <w:lang w:val="es-ES"/>
              </w:rPr>
              <w:t>Agreement</w:t>
            </w:r>
            <w:proofErr w:type="spellEnd"/>
            <w:r>
              <w:rPr>
                <w:lang w:val="es-ES"/>
              </w:rPr>
              <w:t xml:space="preserve">), sujeto a ley inglesa, por, entre otros, </w:t>
            </w:r>
            <w:r w:rsidRPr="00285AC7">
              <w:rPr>
                <w:lang w:val="es-ES"/>
              </w:rPr>
              <w:t xml:space="preserve">Beacon Finco </w:t>
            </w:r>
            <w:proofErr w:type="spellStart"/>
            <w:r w:rsidRPr="00285AC7">
              <w:rPr>
                <w:lang w:val="es-ES"/>
              </w:rPr>
              <w:t>S.à</w:t>
            </w:r>
            <w:proofErr w:type="spellEnd"/>
            <w:r w:rsidRPr="00285AC7">
              <w:rPr>
                <w:lang w:val="es-ES"/>
              </w:rPr>
              <w:t xml:space="preserve"> </w:t>
            </w:r>
            <w:proofErr w:type="spellStart"/>
            <w:r w:rsidRPr="00285AC7">
              <w:rPr>
                <w:lang w:val="es-ES"/>
              </w:rPr>
              <w:t>r.l</w:t>
            </w:r>
            <w:proofErr w:type="spellEnd"/>
            <w:r w:rsidRPr="00285AC7">
              <w:rPr>
                <w:lang w:val="es-ES"/>
              </w:rPr>
              <w:t xml:space="preserve">. </w:t>
            </w:r>
            <w:r>
              <w:rPr>
                <w:lang w:val="es-ES"/>
              </w:rPr>
              <w:t>como deudor auxiliar (</w:t>
            </w:r>
            <w:proofErr w:type="spellStart"/>
            <w:r w:rsidRPr="00285AC7">
              <w:rPr>
                <w:i/>
                <w:lang w:val="es-ES"/>
              </w:rPr>
              <w:t>Ancillary</w:t>
            </w:r>
            <w:proofErr w:type="spellEnd"/>
            <w:r w:rsidRPr="00285AC7">
              <w:rPr>
                <w:i/>
                <w:lang w:val="es-ES"/>
              </w:rPr>
              <w:t xml:space="preserve"> </w:t>
            </w:r>
            <w:proofErr w:type="spellStart"/>
            <w:r w:rsidRPr="00285AC7">
              <w:rPr>
                <w:i/>
                <w:lang w:val="es-ES"/>
              </w:rPr>
              <w:t>Borrower</w:t>
            </w:r>
            <w:proofErr w:type="spellEnd"/>
            <w:r>
              <w:rPr>
                <w:lang w:val="es-ES"/>
              </w:rPr>
              <w:t>)</w:t>
            </w:r>
            <w:r w:rsidRPr="00285AC7">
              <w:rPr>
                <w:lang w:val="es-ES"/>
              </w:rPr>
              <w:t xml:space="preserve"> </w:t>
            </w:r>
            <w:r>
              <w:rPr>
                <w:lang w:val="es-ES"/>
              </w:rPr>
              <w:t>e</w:t>
            </w:r>
            <w:r w:rsidRPr="00285AC7">
              <w:rPr>
                <w:lang w:val="es-ES"/>
              </w:rPr>
              <w:t xml:space="preserve"> ING Bank, a Branch of ING-</w:t>
            </w:r>
            <w:proofErr w:type="spellStart"/>
            <w:r w:rsidRPr="00285AC7">
              <w:rPr>
                <w:lang w:val="es-ES"/>
              </w:rPr>
              <w:t>DiBa</w:t>
            </w:r>
            <w:proofErr w:type="spellEnd"/>
            <w:r w:rsidRPr="00285AC7">
              <w:rPr>
                <w:lang w:val="es-ES"/>
              </w:rPr>
              <w:t xml:space="preserve"> AG </w:t>
            </w:r>
            <w:r>
              <w:rPr>
                <w:lang w:val="es-ES"/>
              </w:rPr>
              <w:t>como entidad financiadora auxiliar (</w:t>
            </w:r>
            <w:proofErr w:type="spellStart"/>
            <w:r w:rsidRPr="00285AC7">
              <w:rPr>
                <w:i/>
                <w:lang w:val="es-ES"/>
              </w:rPr>
              <w:t>Ancillary</w:t>
            </w:r>
            <w:proofErr w:type="spellEnd"/>
            <w:r w:rsidRPr="00285AC7">
              <w:rPr>
                <w:i/>
                <w:lang w:val="es-ES"/>
              </w:rPr>
              <w:t xml:space="preserve"> </w:t>
            </w:r>
            <w:proofErr w:type="spellStart"/>
            <w:r w:rsidRPr="00285AC7">
              <w:rPr>
                <w:i/>
                <w:lang w:val="es-ES"/>
              </w:rPr>
              <w:t>Lender</w:t>
            </w:r>
            <w:proofErr w:type="spellEnd"/>
            <w:r>
              <w:rPr>
                <w:lang w:val="es-ES"/>
              </w:rPr>
              <w:t>)</w:t>
            </w:r>
            <w:r w:rsidRPr="00285AC7">
              <w:rPr>
                <w:lang w:val="es-ES"/>
              </w:rPr>
              <w:t xml:space="preserve">. </w:t>
            </w:r>
            <w:r>
              <w:rPr>
                <w:lang w:val="es-ES"/>
              </w:rPr>
              <w:t>En adelante</w:t>
            </w:r>
            <w:r w:rsidRPr="00285AC7">
              <w:rPr>
                <w:lang w:val="es-ES"/>
              </w:rPr>
              <w:t xml:space="preserve">, </w:t>
            </w:r>
            <w:r>
              <w:rPr>
                <w:lang w:val="es-ES"/>
              </w:rPr>
              <w:t>el</w:t>
            </w:r>
            <w:r w:rsidRPr="00285AC7">
              <w:rPr>
                <w:lang w:val="es-ES"/>
              </w:rPr>
              <w:t xml:space="preserve"> </w:t>
            </w:r>
            <w:r>
              <w:rPr>
                <w:b/>
                <w:lang w:val="es-ES"/>
              </w:rPr>
              <w:t>Contrato de Financiación Auxiliar</w:t>
            </w:r>
            <w:r w:rsidRPr="00285AC7">
              <w:rPr>
                <w:lang w:val="es-ES"/>
              </w:rPr>
              <w:t>.</w:t>
            </w:r>
          </w:p>
        </w:tc>
        <w:tc>
          <w:tcPr>
            <w:tcW w:w="2500" w:type="pct"/>
            <w:shd w:val="clear" w:color="auto" w:fill="auto"/>
          </w:tcPr>
          <w:p w14:paraId="6D471BF3" w14:textId="77777777" w:rsidR="000D089E" w:rsidRPr="00647C7A" w:rsidRDefault="000D089E" w:rsidP="000D089E">
            <w:pPr>
              <w:pStyle w:val="AODocTxt"/>
              <w:numPr>
                <w:ilvl w:val="0"/>
                <w:numId w:val="39"/>
              </w:numPr>
              <w:ind w:hanging="720"/>
            </w:pPr>
            <w:r w:rsidRPr="00647C7A">
              <w:t xml:space="preserve">That, on </w:t>
            </w:r>
            <w:r>
              <w:t>24</w:t>
            </w:r>
            <w:r w:rsidRPr="00647C7A">
              <w:t xml:space="preserve"> June 2019, an English law</w:t>
            </w:r>
            <w:r>
              <w:t xml:space="preserve"> ancillary facility agreement relating to a Guarantee, </w:t>
            </w:r>
            <w:proofErr w:type="gramStart"/>
            <w:r>
              <w:t>entered into</w:t>
            </w:r>
            <w:proofErr w:type="gramEnd"/>
            <w:r>
              <w:t xml:space="preserve">, between, among others, Beacon Finco </w:t>
            </w:r>
            <w:proofErr w:type="spellStart"/>
            <w:r>
              <w:t>S.à</w:t>
            </w:r>
            <w:proofErr w:type="spellEnd"/>
            <w:r>
              <w:t xml:space="preserve"> </w:t>
            </w:r>
            <w:proofErr w:type="spellStart"/>
            <w:r>
              <w:t>r.l</w:t>
            </w:r>
            <w:proofErr w:type="spellEnd"/>
            <w:r>
              <w:t xml:space="preserve">. as Ancillary Borrower and ING Bank, a Branch of ING-DiBa AG as Ancillary Lender. Hereinafter, the </w:t>
            </w:r>
            <w:r w:rsidRPr="00285AC7">
              <w:rPr>
                <w:b/>
              </w:rPr>
              <w:t>Ancillary Facility Agreement</w:t>
            </w:r>
            <w:r>
              <w:t xml:space="preserve">. </w:t>
            </w:r>
          </w:p>
        </w:tc>
      </w:tr>
      <w:tr w:rsidR="000D089E" w:rsidRPr="000633B2" w14:paraId="654C342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26C9730" w14:textId="77777777" w:rsidR="000D089E" w:rsidRDefault="000D089E" w:rsidP="000D089E">
            <w:pPr>
              <w:pStyle w:val="AOA"/>
              <w:rPr>
                <w:lang w:val="es-ES"/>
              </w:rPr>
            </w:pPr>
            <w:r w:rsidRPr="0024367D">
              <w:rPr>
                <w:lang w:val="es-ES"/>
              </w:rPr>
              <w:t xml:space="preserve">Que con fecha 15 de junio de 2019 se suscribió un </w:t>
            </w:r>
            <w:r w:rsidRPr="00AE2736">
              <w:rPr>
                <w:lang w:val="es" w:eastAsia="es-ES"/>
              </w:rPr>
              <w:t xml:space="preserve">contrato de crédito </w:t>
            </w:r>
            <w:proofErr w:type="spellStart"/>
            <w:r w:rsidRPr="00685A2B">
              <w:rPr>
                <w:i/>
                <w:lang w:val="es" w:eastAsia="es-ES"/>
              </w:rPr>
              <w:t>revolving</w:t>
            </w:r>
            <w:proofErr w:type="spellEnd"/>
            <w:r>
              <w:rPr>
                <w:lang w:val="es-ES"/>
              </w:rPr>
              <w:t xml:space="preserve"> </w:t>
            </w:r>
            <w:r w:rsidRPr="0024367D">
              <w:rPr>
                <w:lang w:val="es-ES"/>
              </w:rPr>
              <w:t>(</w:t>
            </w:r>
            <w:proofErr w:type="spellStart"/>
            <w:r w:rsidRPr="0024367D">
              <w:rPr>
                <w:i/>
                <w:lang w:val="es-ES"/>
              </w:rPr>
              <w:t>Initial</w:t>
            </w:r>
            <w:proofErr w:type="spellEnd"/>
            <w:r w:rsidRPr="0024367D">
              <w:rPr>
                <w:i/>
                <w:lang w:val="es-ES"/>
              </w:rPr>
              <w:t xml:space="preserve"> </w:t>
            </w:r>
            <w:proofErr w:type="spellStart"/>
            <w:r>
              <w:rPr>
                <w:i/>
                <w:lang w:val="es-ES"/>
              </w:rPr>
              <w:t>Maintenance</w:t>
            </w:r>
            <w:proofErr w:type="spellEnd"/>
            <w:r>
              <w:rPr>
                <w:i/>
                <w:lang w:val="es-ES"/>
              </w:rPr>
              <w:t xml:space="preserve"> Reserve </w:t>
            </w:r>
            <w:proofErr w:type="spellStart"/>
            <w:r>
              <w:rPr>
                <w:i/>
                <w:lang w:val="es-ES"/>
              </w:rPr>
              <w:t>Facility</w:t>
            </w:r>
            <w:proofErr w:type="spellEnd"/>
            <w:r>
              <w:rPr>
                <w:i/>
                <w:lang w:val="es-ES"/>
              </w:rPr>
              <w:t xml:space="preserve"> </w:t>
            </w:r>
            <w:proofErr w:type="spellStart"/>
            <w:r>
              <w:rPr>
                <w:i/>
                <w:lang w:val="es-ES"/>
              </w:rPr>
              <w:t>Agreement</w:t>
            </w:r>
            <w:proofErr w:type="spellEnd"/>
            <w:r w:rsidRPr="0024367D">
              <w:rPr>
                <w:lang w:val="es-ES"/>
              </w:rPr>
              <w:t xml:space="preserve">) por importe máximo </w:t>
            </w:r>
            <w:r>
              <w:rPr>
                <w:lang w:val="es-ES"/>
              </w:rPr>
              <w:t xml:space="preserve">agregado </w:t>
            </w:r>
            <w:r w:rsidRPr="0024367D">
              <w:rPr>
                <w:lang w:val="es-ES"/>
              </w:rPr>
              <w:t>de €</w:t>
            </w:r>
            <w:r>
              <w:rPr>
                <w:lang w:val="es-ES"/>
              </w:rPr>
              <w:t xml:space="preserve">11.130.898, </w:t>
            </w:r>
            <w:r w:rsidRPr="0024367D">
              <w:rPr>
                <w:lang w:val="es-ES"/>
              </w:rPr>
              <w:t xml:space="preserve">sujeto a ley inglesa, por, entre otros, Beacon Finco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w:t>
            </w:r>
            <w:r w:rsidRPr="0024367D">
              <w:rPr>
                <w:b/>
                <w:lang w:val="es-ES"/>
              </w:rPr>
              <w:t xml:space="preserve"> </w:t>
            </w:r>
            <w:r w:rsidRPr="0024367D">
              <w:rPr>
                <w:lang w:val="es-ES"/>
              </w:rPr>
              <w:t>como emisor (</w:t>
            </w:r>
            <w:proofErr w:type="spellStart"/>
            <w:r w:rsidRPr="0024367D">
              <w:rPr>
                <w:i/>
                <w:lang w:val="es-ES"/>
              </w:rPr>
              <w:t>Issuer</w:t>
            </w:r>
            <w:proofErr w:type="spellEnd"/>
            <w:r w:rsidRPr="0024367D">
              <w:rPr>
                <w:lang w:val="es-ES"/>
              </w:rPr>
              <w:t xml:space="preserve">), </w:t>
            </w:r>
            <w:r>
              <w:rPr>
                <w:lang w:val="es-ES"/>
              </w:rPr>
              <w:t xml:space="preserve">las </w:t>
            </w:r>
            <w:r w:rsidRPr="00685A2B">
              <w:rPr>
                <w:lang w:val="es-ES"/>
              </w:rPr>
              <w:t xml:space="preserve">Entidades Coordinadoras </w:t>
            </w:r>
            <w:r>
              <w:rPr>
                <w:lang w:val="es-ES"/>
              </w:rPr>
              <w:t xml:space="preserve">Iniciales </w:t>
            </w:r>
            <w:r w:rsidRPr="00685A2B">
              <w:rPr>
                <w:lang w:val="es-ES"/>
              </w:rPr>
              <w:t>MRF</w:t>
            </w:r>
            <w:r w:rsidRPr="00685A2B">
              <w:rPr>
                <w:lang w:val="es" w:eastAsia="es-ES"/>
              </w:rPr>
              <w:t xml:space="preserve"> </w:t>
            </w:r>
            <w:r w:rsidRPr="0024367D">
              <w:rPr>
                <w:lang w:val="es-ES"/>
              </w:rPr>
              <w:t>(</w:t>
            </w:r>
            <w:proofErr w:type="spellStart"/>
            <w:r w:rsidRPr="0024367D">
              <w:rPr>
                <w:i/>
                <w:lang w:val="es-ES"/>
              </w:rPr>
              <w:t>Initial</w:t>
            </w:r>
            <w:proofErr w:type="spellEnd"/>
            <w:r w:rsidRPr="0024367D">
              <w:rPr>
                <w:i/>
                <w:lang w:val="es-ES"/>
              </w:rPr>
              <w:t xml:space="preserve"> </w:t>
            </w:r>
            <w:r>
              <w:rPr>
                <w:i/>
                <w:lang w:val="es-ES"/>
              </w:rPr>
              <w:t>MRF</w:t>
            </w:r>
            <w:r w:rsidRPr="0024367D">
              <w:rPr>
                <w:i/>
                <w:lang w:val="es-ES"/>
              </w:rPr>
              <w:t xml:space="preserve"> </w:t>
            </w:r>
            <w:proofErr w:type="spellStart"/>
            <w:r w:rsidRPr="0024367D">
              <w:rPr>
                <w:i/>
                <w:lang w:val="es-ES"/>
              </w:rPr>
              <w:t>Arrangers</w:t>
            </w:r>
            <w:proofErr w:type="spellEnd"/>
            <w:r>
              <w:rPr>
                <w:lang w:val="es-ES"/>
              </w:rPr>
              <w:t xml:space="preserve">), las Entidades Financiadoras Iniciales MRF </w:t>
            </w:r>
            <w:r w:rsidRPr="0024367D">
              <w:rPr>
                <w:lang w:val="es-ES"/>
              </w:rPr>
              <w:t>(</w:t>
            </w:r>
            <w:proofErr w:type="spellStart"/>
            <w:r w:rsidRPr="0024367D">
              <w:rPr>
                <w:i/>
                <w:lang w:val="es-ES" w:eastAsia="en-GB" w:bidi="en-GB"/>
              </w:rPr>
              <w:t>Initial</w:t>
            </w:r>
            <w:proofErr w:type="spellEnd"/>
            <w:r w:rsidRPr="0024367D">
              <w:rPr>
                <w:i/>
                <w:lang w:val="es-ES" w:eastAsia="en-GB" w:bidi="en-GB"/>
              </w:rPr>
              <w:t xml:space="preserve"> </w:t>
            </w:r>
            <w:r>
              <w:rPr>
                <w:i/>
                <w:lang w:val="es-ES" w:eastAsia="en-GB" w:bidi="en-GB"/>
              </w:rPr>
              <w:t>MRF</w:t>
            </w:r>
            <w:r w:rsidRPr="0024367D">
              <w:rPr>
                <w:i/>
                <w:lang w:val="es-ES" w:eastAsia="en-GB" w:bidi="en-GB"/>
              </w:rPr>
              <w:t xml:space="preserve"> </w:t>
            </w:r>
            <w:proofErr w:type="spellStart"/>
            <w:r w:rsidRPr="0024367D">
              <w:rPr>
                <w:i/>
                <w:lang w:val="es-ES" w:eastAsia="en-GB" w:bidi="en-GB"/>
              </w:rPr>
              <w:t>Lenders</w:t>
            </w:r>
            <w:proofErr w:type="spellEnd"/>
            <w:r>
              <w:rPr>
                <w:lang w:val="es-ES"/>
              </w:rPr>
              <w:t xml:space="preserve">), el </w:t>
            </w:r>
            <w:r w:rsidRPr="00C70D98">
              <w:rPr>
                <w:lang w:val="es-ES"/>
              </w:rPr>
              <w:lastRenderedPageBreak/>
              <w:t xml:space="preserve">Agente </w:t>
            </w:r>
            <w:r>
              <w:rPr>
                <w:lang w:val="es-ES"/>
              </w:rPr>
              <w:t>Inicial MRF</w:t>
            </w:r>
            <w:r w:rsidRPr="0024367D">
              <w:rPr>
                <w:lang w:val="es-ES"/>
              </w:rPr>
              <w:t xml:space="preserve"> (</w:t>
            </w:r>
            <w:proofErr w:type="spellStart"/>
            <w:r w:rsidRPr="00531B1B">
              <w:rPr>
                <w:i/>
                <w:lang w:val="es-ES"/>
              </w:rPr>
              <w:t>Initial</w:t>
            </w:r>
            <w:proofErr w:type="spellEnd"/>
            <w:r w:rsidRPr="00531B1B">
              <w:rPr>
                <w:i/>
                <w:lang w:val="es-ES"/>
              </w:rPr>
              <w:t xml:space="preserve"> </w:t>
            </w:r>
            <w:r>
              <w:rPr>
                <w:i/>
                <w:lang w:val="es-ES"/>
              </w:rPr>
              <w:t>MRF</w:t>
            </w:r>
            <w:r w:rsidRPr="0024367D">
              <w:rPr>
                <w:i/>
                <w:lang w:val="es-ES"/>
              </w:rPr>
              <w:t xml:space="preserve"> </w:t>
            </w:r>
            <w:proofErr w:type="spellStart"/>
            <w:r w:rsidRPr="0024367D">
              <w:rPr>
                <w:i/>
                <w:lang w:val="es-ES"/>
              </w:rPr>
              <w:t>Agent</w:t>
            </w:r>
            <w:proofErr w:type="spellEnd"/>
            <w:r w:rsidRPr="0024367D">
              <w:rPr>
                <w:lang w:val="es-ES"/>
              </w:rPr>
              <w:t xml:space="preserve">) y 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 xml:space="preserve">). </w:t>
            </w:r>
            <w:r w:rsidRPr="00E53971">
              <w:rPr>
                <w:lang w:val="es-ES"/>
              </w:rPr>
              <w:t xml:space="preserve">En adelante, el contrato de </w:t>
            </w:r>
            <w:r w:rsidRPr="0024367D">
              <w:rPr>
                <w:lang w:val="es-ES"/>
              </w:rPr>
              <w:t>crédito</w:t>
            </w:r>
            <w:r>
              <w:rPr>
                <w:lang w:val="es-ES"/>
              </w:rPr>
              <w:t xml:space="preserve"> </w:t>
            </w:r>
            <w:proofErr w:type="spellStart"/>
            <w:r w:rsidRPr="00685A2B">
              <w:rPr>
                <w:i/>
                <w:lang w:val="es" w:eastAsia="es-ES"/>
              </w:rPr>
              <w:t>revolving</w:t>
            </w:r>
            <w:proofErr w:type="spellEnd"/>
            <w:r w:rsidRPr="00E53971">
              <w:rPr>
                <w:lang w:val="es-ES"/>
              </w:rPr>
              <w:t xml:space="preserve">, tal y como el </w:t>
            </w:r>
            <w:r>
              <w:rPr>
                <w:lang w:val="es-ES"/>
              </w:rPr>
              <w:t>m</w:t>
            </w:r>
            <w:r w:rsidRPr="00E53971">
              <w:rPr>
                <w:lang w:val="es-ES"/>
              </w:rPr>
              <w:t xml:space="preserve">ismo sea modificado, extendido, ratificado y/o complementado en cada </w:t>
            </w:r>
            <w:r>
              <w:rPr>
                <w:lang w:val="es-ES"/>
              </w:rPr>
              <w:t>momento,</w:t>
            </w:r>
            <w:r w:rsidRPr="00E53971">
              <w:rPr>
                <w:lang w:val="es-ES"/>
              </w:rPr>
              <w:t xml:space="preserve"> será referido como el</w:t>
            </w:r>
            <w:r>
              <w:rPr>
                <w:lang w:val="es-ES"/>
              </w:rPr>
              <w:t xml:space="preserve"> </w:t>
            </w:r>
            <w:r w:rsidRPr="009036AA">
              <w:rPr>
                <w:b/>
                <w:lang w:val="es-ES" w:eastAsia="es-ES"/>
              </w:rPr>
              <w:t>C</w:t>
            </w:r>
            <w:proofErr w:type="spellStart"/>
            <w:r w:rsidRPr="009036AA">
              <w:rPr>
                <w:b/>
                <w:lang w:val="es" w:eastAsia="es-ES"/>
              </w:rPr>
              <w:t>ontrato</w:t>
            </w:r>
            <w:proofErr w:type="spellEnd"/>
            <w:r w:rsidRPr="009036AA">
              <w:rPr>
                <w:b/>
                <w:lang w:val="es" w:eastAsia="es-ES"/>
              </w:rPr>
              <w:t xml:space="preserve"> de Crédito </w:t>
            </w:r>
            <w:r>
              <w:rPr>
                <w:b/>
                <w:lang w:val="es" w:eastAsia="es-ES"/>
              </w:rPr>
              <w:t xml:space="preserve">MRF </w:t>
            </w:r>
            <w:r w:rsidRPr="000633B2">
              <w:rPr>
                <w:lang w:val="es" w:eastAsia="es-ES"/>
              </w:rPr>
              <w:t>o el</w:t>
            </w:r>
            <w:r>
              <w:rPr>
                <w:b/>
                <w:lang w:val="es" w:eastAsia="es-ES"/>
              </w:rPr>
              <w:t xml:space="preserve"> MRF</w:t>
            </w:r>
            <w:r w:rsidRPr="00E53971">
              <w:rPr>
                <w:lang w:val="es-ES"/>
              </w:rPr>
              <w:t>.</w:t>
            </w:r>
          </w:p>
        </w:tc>
        <w:tc>
          <w:tcPr>
            <w:tcW w:w="2500" w:type="pct"/>
            <w:shd w:val="clear" w:color="auto" w:fill="auto"/>
          </w:tcPr>
          <w:p w14:paraId="5AF0DC9C" w14:textId="77777777" w:rsidR="000D089E" w:rsidRPr="000633B2" w:rsidRDefault="000D089E" w:rsidP="000D089E">
            <w:pPr>
              <w:pStyle w:val="AODocTxt"/>
              <w:numPr>
                <w:ilvl w:val="0"/>
                <w:numId w:val="39"/>
              </w:numPr>
              <w:ind w:hanging="720"/>
            </w:pPr>
            <w:r w:rsidRPr="00647C7A">
              <w:lastRenderedPageBreak/>
              <w:t xml:space="preserve">That, on 15 June 2019, an English law </w:t>
            </w:r>
            <w:r w:rsidRPr="006764C0">
              <w:t>initial maintenance reserve facility agreement</w:t>
            </w:r>
            <w:r w:rsidRPr="00647C7A">
              <w:t xml:space="preserve"> for a </w:t>
            </w:r>
            <w:r w:rsidRPr="00901F23">
              <w:t xml:space="preserve">maximum </w:t>
            </w:r>
            <w:r w:rsidRPr="00647C7A">
              <w:rPr>
                <w:lang w:eastAsia="en-GB" w:bidi="en-GB"/>
              </w:rPr>
              <w:t>aggregate amount</w:t>
            </w:r>
            <w:r w:rsidRPr="00901F23">
              <w:t xml:space="preserve"> of </w:t>
            </w:r>
            <w:r w:rsidRPr="00416E19">
              <w:t>€</w:t>
            </w:r>
            <w:r w:rsidRPr="000633B2">
              <w:t>11,130,898</w:t>
            </w:r>
            <w:r>
              <w:t xml:space="preserve"> was</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the Issuer</w:t>
            </w:r>
            <w:r w:rsidRPr="00901F23">
              <w:t xml:space="preserve">, </w:t>
            </w:r>
            <w:r>
              <w:t>the Initial MRF Arrangers</w:t>
            </w:r>
            <w:r w:rsidRPr="00901F23">
              <w:t>,</w:t>
            </w:r>
            <w:r>
              <w:t xml:space="preserve"> the Initial MRF Lenders,</w:t>
            </w:r>
            <w:r w:rsidRPr="00901F23">
              <w:t xml:space="preserve"> </w:t>
            </w:r>
            <w:r>
              <w:t xml:space="preserve">the Initial MRF </w:t>
            </w:r>
            <w:r w:rsidRPr="00901F23">
              <w:t xml:space="preserve">Agent and </w:t>
            </w:r>
            <w:r>
              <w:t xml:space="preserve">Beacon Rail Leasing </w:t>
            </w:r>
            <w:proofErr w:type="spellStart"/>
            <w:r>
              <w:t>S.à</w:t>
            </w:r>
            <w:proofErr w:type="spellEnd"/>
            <w:r>
              <w:t xml:space="preserve"> </w:t>
            </w:r>
            <w:proofErr w:type="spellStart"/>
            <w:r>
              <w:t>r.l</w:t>
            </w:r>
            <w:proofErr w:type="spellEnd"/>
            <w:r>
              <w:t xml:space="preserve">. as the </w:t>
            </w:r>
            <w:r w:rsidRPr="00901F23">
              <w:t xml:space="preserve">Security </w:t>
            </w:r>
            <w:r>
              <w:t xml:space="preserve">Group </w:t>
            </w:r>
            <w:r w:rsidRPr="00901F23">
              <w:t>Agent</w:t>
            </w:r>
            <w:r>
              <w:t>. H</w:t>
            </w:r>
            <w:r w:rsidRPr="00901F23">
              <w:t xml:space="preserve">ereinafter, the </w:t>
            </w:r>
            <w:r w:rsidRPr="006764C0">
              <w:t>initial maintenance reserve facility agreement</w:t>
            </w:r>
            <w:r w:rsidRPr="00901F23">
              <w:t xml:space="preserve">, as it may be </w:t>
            </w:r>
            <w:r w:rsidRPr="00901F23">
              <w:lastRenderedPageBreak/>
              <w:t xml:space="preserve">amended, extended, ratified and/or </w:t>
            </w:r>
            <w:r>
              <w:t>supplemented from time to time,</w:t>
            </w:r>
            <w:r w:rsidRPr="00901F23">
              <w:t xml:space="preserve"> shall be referred to as the</w:t>
            </w:r>
            <w:r w:rsidRPr="00647C7A">
              <w:rPr>
                <w:i/>
              </w:rPr>
              <w:t xml:space="preserve"> </w:t>
            </w:r>
            <w:r w:rsidRPr="000633B2">
              <w:rPr>
                <w:b/>
              </w:rPr>
              <w:t>Initial Maintenance Reserve Facility Agreement</w:t>
            </w:r>
            <w:r w:rsidRPr="00647C7A">
              <w:t xml:space="preserve"> or the</w:t>
            </w:r>
            <w:r w:rsidRPr="00901F23">
              <w:t xml:space="preserve"> </w:t>
            </w:r>
            <w:r>
              <w:rPr>
                <w:b/>
              </w:rPr>
              <w:t>MRF</w:t>
            </w:r>
            <w:r w:rsidRPr="00901F23">
              <w:t>.</w:t>
            </w:r>
          </w:p>
        </w:tc>
      </w:tr>
      <w:tr w:rsidR="000D089E" w:rsidRPr="0024367D" w14:paraId="08FA591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77969BA" w14:textId="77777777" w:rsidR="000D089E" w:rsidRPr="0024367D" w:rsidRDefault="000D089E" w:rsidP="000D089E">
            <w:pPr>
              <w:pStyle w:val="AODocTxtL1"/>
              <w:rPr>
                <w:lang w:val="es-ES"/>
              </w:rPr>
            </w:pPr>
            <w:r w:rsidRPr="00E53971">
              <w:rPr>
                <w:lang w:val="es-ES"/>
              </w:rPr>
              <w:lastRenderedPageBreak/>
              <w:t xml:space="preserve">El </w:t>
            </w:r>
            <w:r w:rsidRPr="009036AA">
              <w:rPr>
                <w:lang w:val="es-ES" w:eastAsia="es-ES"/>
              </w:rPr>
              <w:t>C</w:t>
            </w:r>
            <w:proofErr w:type="spellStart"/>
            <w:r w:rsidRPr="009036AA">
              <w:rPr>
                <w:lang w:val="es" w:eastAsia="es-ES"/>
              </w:rPr>
              <w:t>ontrato</w:t>
            </w:r>
            <w:proofErr w:type="spellEnd"/>
            <w:r w:rsidRPr="009036AA">
              <w:rPr>
                <w:lang w:val="es" w:eastAsia="es-ES"/>
              </w:rPr>
              <w:t xml:space="preserve"> de Crédito </w:t>
            </w:r>
            <w:r>
              <w:rPr>
                <w:lang w:val="es" w:eastAsia="es-ES"/>
              </w:rPr>
              <w:t>MRF</w:t>
            </w:r>
            <w:r w:rsidRPr="00E53971">
              <w:rPr>
                <w:lang w:val="es-ES"/>
              </w:rPr>
              <w:t xml:space="preserve"> </w:t>
            </w:r>
            <w:r>
              <w:rPr>
                <w:lang w:val="es-ES"/>
              </w:rPr>
              <w:t>fue</w:t>
            </w:r>
            <w:r w:rsidRPr="00E53971">
              <w:rPr>
                <w:lang w:val="es-ES"/>
              </w:rPr>
              <w:t xml:space="preserve"> elevado a público e</w:t>
            </w:r>
            <w:r>
              <w:rPr>
                <w:lang w:val="es-ES"/>
              </w:rPr>
              <w:t xml:space="preserv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 xml:space="preserve">de Madrid, D. Antonio Luis Reina Gutiérrez. </w:t>
            </w:r>
          </w:p>
        </w:tc>
        <w:tc>
          <w:tcPr>
            <w:tcW w:w="2500" w:type="pct"/>
            <w:shd w:val="clear" w:color="auto" w:fill="auto"/>
          </w:tcPr>
          <w:p w14:paraId="47D9C8D4" w14:textId="77777777" w:rsidR="000D089E" w:rsidRPr="0024367D" w:rsidRDefault="000D089E" w:rsidP="000D089E">
            <w:pPr>
              <w:pStyle w:val="AODocTxtL1"/>
            </w:pPr>
            <w:r>
              <w:t xml:space="preserve">The </w:t>
            </w:r>
            <w:r w:rsidRPr="00707644">
              <w:t>Initial Maintenance Reserve Facility Agreement</w:t>
            </w:r>
            <w:r w:rsidRPr="00901F23">
              <w:t xml:space="preserve"> </w:t>
            </w:r>
            <w:r>
              <w:t>was</w:t>
            </w:r>
            <w:r w:rsidRPr="00901F23">
              <w:t xml:space="preserve"> raised to the status of public document</w:t>
            </w:r>
            <w:r>
              <w:t xml:space="preserve"> on 22 April 2021 </w:t>
            </w:r>
            <w:r w:rsidRPr="00901F23">
              <w:t>by means of a deed</w:t>
            </w:r>
            <w:r>
              <w:t xml:space="preserve"> intervened by</w:t>
            </w:r>
            <w:r w:rsidRPr="00973006">
              <w:t xml:space="preserve"> the Notary</w:t>
            </w:r>
            <w:r>
              <w:t xml:space="preserve"> of Madrid, Mr. </w:t>
            </w:r>
            <w:r w:rsidRPr="00707E42">
              <w:t>Antonio Luis Reina Gutiérrez</w:t>
            </w:r>
            <w:r>
              <w:t>.</w:t>
            </w:r>
          </w:p>
        </w:tc>
      </w:tr>
      <w:tr w:rsidR="000D089E" w:rsidRPr="009F344D" w14:paraId="565CD72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73791CF" w14:textId="77777777" w:rsidR="000D089E" w:rsidRPr="0024367D" w:rsidRDefault="000D089E" w:rsidP="000D089E">
            <w:pPr>
              <w:pStyle w:val="AOA"/>
              <w:rPr>
                <w:lang w:val="es-ES"/>
              </w:rPr>
            </w:pPr>
            <w:r w:rsidRPr="0024367D">
              <w:rPr>
                <w:lang w:val="es-ES"/>
              </w:rPr>
              <w:t xml:space="preserve">Que con fecha 15 de junio de 2019 se suscribió un </w:t>
            </w:r>
            <w:r w:rsidRPr="00AE2736">
              <w:rPr>
                <w:lang w:val="es" w:eastAsia="es-ES"/>
              </w:rPr>
              <w:t xml:space="preserve">contrato de </w:t>
            </w:r>
            <w:r>
              <w:rPr>
                <w:lang w:val="es" w:eastAsia="es-ES"/>
              </w:rPr>
              <w:t xml:space="preserve">liquidez </w:t>
            </w:r>
            <w:proofErr w:type="spellStart"/>
            <w:r w:rsidRPr="009F344D">
              <w:rPr>
                <w:i/>
                <w:lang w:val="es" w:eastAsia="es-ES"/>
              </w:rPr>
              <w:t>revolving</w:t>
            </w:r>
            <w:proofErr w:type="spellEnd"/>
            <w:r>
              <w:rPr>
                <w:lang w:val="es-ES"/>
              </w:rPr>
              <w:t xml:space="preserve"> </w:t>
            </w:r>
            <w:r w:rsidRPr="0024367D">
              <w:rPr>
                <w:lang w:val="es-ES"/>
              </w:rPr>
              <w:t>(</w:t>
            </w:r>
            <w:proofErr w:type="spellStart"/>
            <w:r w:rsidRPr="0024367D">
              <w:rPr>
                <w:i/>
                <w:lang w:val="es-ES"/>
              </w:rPr>
              <w:t>Initial</w:t>
            </w:r>
            <w:proofErr w:type="spellEnd"/>
            <w:r w:rsidRPr="0024367D">
              <w:rPr>
                <w:i/>
                <w:lang w:val="es-ES"/>
              </w:rPr>
              <w:t xml:space="preserve"> </w:t>
            </w:r>
            <w:proofErr w:type="spellStart"/>
            <w:r>
              <w:rPr>
                <w:i/>
                <w:lang w:val="es-ES"/>
              </w:rPr>
              <w:t>Liquidity</w:t>
            </w:r>
            <w:proofErr w:type="spellEnd"/>
            <w:r>
              <w:rPr>
                <w:i/>
                <w:lang w:val="es-ES"/>
              </w:rPr>
              <w:t xml:space="preserve"> </w:t>
            </w:r>
            <w:proofErr w:type="spellStart"/>
            <w:r>
              <w:rPr>
                <w:i/>
                <w:lang w:val="es-ES"/>
              </w:rPr>
              <w:t>Facility</w:t>
            </w:r>
            <w:proofErr w:type="spellEnd"/>
            <w:r>
              <w:rPr>
                <w:i/>
                <w:lang w:val="es-ES"/>
              </w:rPr>
              <w:t xml:space="preserve"> </w:t>
            </w:r>
            <w:proofErr w:type="spellStart"/>
            <w:r>
              <w:rPr>
                <w:i/>
                <w:lang w:val="es-ES"/>
              </w:rPr>
              <w:t>Agreement</w:t>
            </w:r>
            <w:proofErr w:type="spellEnd"/>
            <w:r w:rsidRPr="0024367D">
              <w:rPr>
                <w:lang w:val="es-ES"/>
              </w:rPr>
              <w:t xml:space="preserve">) por importe máximo </w:t>
            </w:r>
            <w:r>
              <w:rPr>
                <w:lang w:val="es-ES"/>
              </w:rPr>
              <w:t xml:space="preserve">agregado </w:t>
            </w:r>
            <w:r w:rsidRPr="0024367D">
              <w:rPr>
                <w:lang w:val="es-ES"/>
              </w:rPr>
              <w:t>de €</w:t>
            </w:r>
            <w:r>
              <w:rPr>
                <w:lang w:val="es-ES"/>
              </w:rPr>
              <w:t xml:space="preserve">55.292.467, </w:t>
            </w:r>
            <w:r w:rsidRPr="0024367D">
              <w:rPr>
                <w:lang w:val="es-ES"/>
              </w:rPr>
              <w:t xml:space="preserve">sujeto a ley inglesa, por, entre otros, Beacon Finco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w:t>
            </w:r>
            <w:r w:rsidRPr="0024367D">
              <w:rPr>
                <w:b/>
                <w:lang w:val="es-ES"/>
              </w:rPr>
              <w:t xml:space="preserve"> </w:t>
            </w:r>
            <w:r w:rsidRPr="0024367D">
              <w:rPr>
                <w:lang w:val="es-ES"/>
              </w:rPr>
              <w:t>como emisor (</w:t>
            </w:r>
            <w:proofErr w:type="spellStart"/>
            <w:r w:rsidRPr="0024367D">
              <w:rPr>
                <w:i/>
                <w:lang w:val="es-ES"/>
              </w:rPr>
              <w:t>Issuer</w:t>
            </w:r>
            <w:proofErr w:type="spellEnd"/>
            <w:r w:rsidRPr="0024367D">
              <w:rPr>
                <w:lang w:val="es-ES"/>
              </w:rPr>
              <w:t xml:space="preserve">), </w:t>
            </w:r>
            <w:r>
              <w:rPr>
                <w:lang w:val="es-ES"/>
              </w:rPr>
              <w:t xml:space="preserve">Beacon Rail Leasing,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como responsable de tesorería </w:t>
            </w:r>
            <w:r w:rsidRPr="00407F45">
              <w:rPr>
                <w:i/>
                <w:lang w:val="es-ES"/>
              </w:rPr>
              <w:t>(</w:t>
            </w:r>
            <w:r w:rsidRPr="009F344D">
              <w:rPr>
                <w:i/>
                <w:lang w:val="es-ES"/>
              </w:rPr>
              <w:t>Cash Manager</w:t>
            </w:r>
            <w:r>
              <w:rPr>
                <w:i/>
                <w:lang w:val="es-ES"/>
              </w:rPr>
              <w:t>)</w:t>
            </w:r>
            <w:r>
              <w:rPr>
                <w:lang w:val="es-ES"/>
              </w:rPr>
              <w:t xml:space="preserve">, </w:t>
            </w:r>
            <w:r w:rsidRPr="0024367D">
              <w:rPr>
                <w:lang w:val="es-ES"/>
              </w:rPr>
              <w:t xml:space="preserve">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w:t>
            </w:r>
            <w:r>
              <w:rPr>
                <w:lang w:val="es-ES"/>
              </w:rPr>
              <w:t xml:space="preserve">, las </w:t>
            </w:r>
            <w:r w:rsidRPr="00685A2B">
              <w:rPr>
                <w:lang w:val="es-ES"/>
              </w:rPr>
              <w:t>Entidades Coordinadoras</w:t>
            </w:r>
            <w:r>
              <w:rPr>
                <w:lang w:val="es-ES"/>
              </w:rPr>
              <w:t xml:space="preserve"> Iniciales L</w:t>
            </w:r>
            <w:r w:rsidRPr="00685A2B">
              <w:rPr>
                <w:lang w:val="es-ES"/>
              </w:rPr>
              <w:t>F</w:t>
            </w:r>
            <w:r w:rsidRPr="00685A2B">
              <w:rPr>
                <w:lang w:val="es" w:eastAsia="es-ES"/>
              </w:rPr>
              <w:t xml:space="preserve"> </w:t>
            </w:r>
            <w:r w:rsidRPr="0024367D">
              <w:rPr>
                <w:lang w:val="es-ES"/>
              </w:rPr>
              <w:t>(</w:t>
            </w:r>
            <w:proofErr w:type="spellStart"/>
            <w:r w:rsidRPr="0024367D">
              <w:rPr>
                <w:i/>
                <w:lang w:val="es-ES"/>
              </w:rPr>
              <w:t>Initial</w:t>
            </w:r>
            <w:proofErr w:type="spellEnd"/>
            <w:r w:rsidRPr="0024367D">
              <w:rPr>
                <w:i/>
                <w:lang w:val="es-ES"/>
              </w:rPr>
              <w:t xml:space="preserve"> </w:t>
            </w:r>
            <w:r>
              <w:rPr>
                <w:i/>
                <w:lang w:val="es-ES"/>
              </w:rPr>
              <w:t>LF</w:t>
            </w:r>
            <w:r w:rsidRPr="0024367D">
              <w:rPr>
                <w:i/>
                <w:lang w:val="es-ES"/>
              </w:rPr>
              <w:t xml:space="preserve"> </w:t>
            </w:r>
            <w:proofErr w:type="spellStart"/>
            <w:r w:rsidRPr="0024367D">
              <w:rPr>
                <w:i/>
                <w:lang w:val="es-ES"/>
              </w:rPr>
              <w:t>Arrangers</w:t>
            </w:r>
            <w:proofErr w:type="spellEnd"/>
            <w:r>
              <w:rPr>
                <w:lang w:val="es-ES"/>
              </w:rPr>
              <w:t xml:space="preserve">), el </w:t>
            </w:r>
            <w:r w:rsidRPr="00C70D98">
              <w:rPr>
                <w:lang w:val="es-ES"/>
              </w:rPr>
              <w:t xml:space="preserve">Agente </w:t>
            </w:r>
            <w:r>
              <w:rPr>
                <w:lang w:val="es-ES"/>
              </w:rPr>
              <w:t>Inicial LF</w:t>
            </w:r>
            <w:r w:rsidRPr="0024367D">
              <w:rPr>
                <w:lang w:val="es-ES"/>
              </w:rPr>
              <w:t xml:space="preserve"> (</w:t>
            </w:r>
            <w:proofErr w:type="spellStart"/>
            <w:r w:rsidRPr="006711D8">
              <w:rPr>
                <w:i/>
                <w:lang w:val="es-ES"/>
              </w:rPr>
              <w:t>Initial</w:t>
            </w:r>
            <w:proofErr w:type="spellEnd"/>
            <w:r w:rsidRPr="006711D8">
              <w:rPr>
                <w:i/>
                <w:lang w:val="es-ES"/>
              </w:rPr>
              <w:t xml:space="preserve"> </w:t>
            </w:r>
            <w:r>
              <w:rPr>
                <w:i/>
                <w:lang w:val="es-ES"/>
              </w:rPr>
              <w:t>L</w:t>
            </w:r>
            <w:r w:rsidRPr="0024367D">
              <w:rPr>
                <w:i/>
                <w:lang w:val="es-ES"/>
              </w:rPr>
              <w:t xml:space="preserve">F </w:t>
            </w:r>
            <w:proofErr w:type="spellStart"/>
            <w:r w:rsidRPr="0024367D">
              <w:rPr>
                <w:i/>
                <w:lang w:val="es-ES"/>
              </w:rPr>
              <w:t>Agent</w:t>
            </w:r>
            <w:proofErr w:type="spellEnd"/>
            <w:r>
              <w:rPr>
                <w:lang w:val="es-ES"/>
              </w:rPr>
              <w:t xml:space="preserve">), </w:t>
            </w:r>
            <w:r w:rsidRPr="00E53971">
              <w:rPr>
                <w:lang w:val="es-ES"/>
              </w:rPr>
              <w:t xml:space="preserve">las </w:t>
            </w:r>
            <w:r w:rsidRPr="000C4645">
              <w:rPr>
                <w:lang w:val="es-ES"/>
              </w:rPr>
              <w:t>Entidades Financiadoras</w:t>
            </w:r>
            <w:r>
              <w:rPr>
                <w:lang w:val="es-ES"/>
              </w:rPr>
              <w:t xml:space="preserve"> Iniciales</w:t>
            </w:r>
            <w:r w:rsidRPr="000C4645">
              <w:rPr>
                <w:lang w:val="es-ES"/>
              </w:rPr>
              <w:t xml:space="preserve"> LF</w:t>
            </w:r>
            <w:r>
              <w:rPr>
                <w:lang w:val="es-ES"/>
              </w:rPr>
              <w:t xml:space="preserve"> e ING como Agente de Garantías (</w:t>
            </w:r>
            <w:r w:rsidRPr="0010494F">
              <w:rPr>
                <w:i/>
                <w:lang w:val="es-ES"/>
              </w:rPr>
              <w:t>Security Trustee</w:t>
            </w:r>
            <w:r>
              <w:rPr>
                <w:lang w:val="es-ES"/>
              </w:rPr>
              <w:t>)</w:t>
            </w:r>
            <w:r w:rsidRPr="0024367D">
              <w:rPr>
                <w:lang w:val="es-ES"/>
              </w:rPr>
              <w:t xml:space="preserve">. </w:t>
            </w:r>
            <w:r w:rsidRPr="00E53971">
              <w:rPr>
                <w:lang w:val="es-ES"/>
              </w:rPr>
              <w:t xml:space="preserve">En adelante, el </w:t>
            </w:r>
            <w:r w:rsidRPr="00AE2736">
              <w:rPr>
                <w:lang w:val="es" w:eastAsia="es-ES"/>
              </w:rPr>
              <w:t xml:space="preserve">contrato de </w:t>
            </w:r>
            <w:r>
              <w:rPr>
                <w:lang w:val="es" w:eastAsia="es-ES"/>
              </w:rPr>
              <w:t xml:space="preserve">liquidez </w:t>
            </w:r>
            <w:proofErr w:type="spellStart"/>
            <w:r w:rsidRPr="009F344D">
              <w:rPr>
                <w:i/>
                <w:lang w:val="es" w:eastAsia="es-ES"/>
              </w:rPr>
              <w:t>revolving</w:t>
            </w:r>
            <w:proofErr w:type="spellEnd"/>
            <w:r w:rsidRPr="00E53971">
              <w:rPr>
                <w:lang w:val="es-ES"/>
              </w:rPr>
              <w:t xml:space="preserve">, tal y como el </w:t>
            </w:r>
            <w:r>
              <w:rPr>
                <w:lang w:val="es-ES"/>
              </w:rPr>
              <w:t>m</w:t>
            </w:r>
            <w:r w:rsidRPr="00E53971">
              <w:rPr>
                <w:lang w:val="es-ES"/>
              </w:rPr>
              <w:t xml:space="preserve">ismo sea modificado, extendido, ratificado y/o complementado en cada </w:t>
            </w:r>
            <w:r>
              <w:rPr>
                <w:lang w:val="es-ES"/>
              </w:rPr>
              <w:t>momento,</w:t>
            </w:r>
            <w:r w:rsidRPr="00E53971">
              <w:rPr>
                <w:lang w:val="es-ES"/>
              </w:rPr>
              <w:t xml:space="preserve"> será referido como el</w:t>
            </w:r>
            <w:r>
              <w:rPr>
                <w:lang w:val="es-ES"/>
              </w:rPr>
              <w:t xml:space="preserve"> </w:t>
            </w:r>
            <w:r w:rsidRPr="009036AA">
              <w:rPr>
                <w:b/>
                <w:lang w:val="es-ES" w:eastAsia="es-ES"/>
              </w:rPr>
              <w:t>C</w:t>
            </w:r>
            <w:proofErr w:type="spellStart"/>
            <w:r w:rsidRPr="009036AA">
              <w:rPr>
                <w:b/>
                <w:lang w:val="es" w:eastAsia="es-ES"/>
              </w:rPr>
              <w:t>ontrato</w:t>
            </w:r>
            <w:proofErr w:type="spellEnd"/>
            <w:r w:rsidRPr="009036AA">
              <w:rPr>
                <w:b/>
                <w:lang w:val="es" w:eastAsia="es-ES"/>
              </w:rPr>
              <w:t xml:space="preserve"> de </w:t>
            </w:r>
            <w:r>
              <w:rPr>
                <w:b/>
                <w:lang w:val="es" w:eastAsia="es-ES"/>
              </w:rPr>
              <w:t>Liquidez</w:t>
            </w:r>
            <w:r w:rsidRPr="009036AA">
              <w:rPr>
                <w:b/>
                <w:lang w:val="es" w:eastAsia="es-ES"/>
              </w:rPr>
              <w:t xml:space="preserve"> </w:t>
            </w:r>
            <w:r>
              <w:rPr>
                <w:b/>
                <w:lang w:val="es" w:eastAsia="es-ES"/>
              </w:rPr>
              <w:t xml:space="preserve">LF </w:t>
            </w:r>
            <w:r w:rsidRPr="000633B2">
              <w:rPr>
                <w:lang w:val="es" w:eastAsia="es-ES"/>
              </w:rPr>
              <w:t>o el</w:t>
            </w:r>
            <w:r>
              <w:rPr>
                <w:b/>
                <w:lang w:val="es" w:eastAsia="es-ES"/>
              </w:rPr>
              <w:t xml:space="preserve"> LF</w:t>
            </w:r>
            <w:r w:rsidRPr="00E53971">
              <w:rPr>
                <w:lang w:val="es-ES"/>
              </w:rPr>
              <w:t>.</w:t>
            </w:r>
          </w:p>
        </w:tc>
        <w:tc>
          <w:tcPr>
            <w:tcW w:w="2500" w:type="pct"/>
            <w:shd w:val="clear" w:color="auto" w:fill="auto"/>
          </w:tcPr>
          <w:p w14:paraId="79E16140" w14:textId="77777777" w:rsidR="000D089E" w:rsidRPr="009F344D" w:rsidRDefault="000D089E" w:rsidP="000D089E">
            <w:pPr>
              <w:pStyle w:val="AODocTxt"/>
              <w:numPr>
                <w:ilvl w:val="0"/>
                <w:numId w:val="39"/>
              </w:numPr>
              <w:ind w:hanging="720"/>
            </w:pPr>
            <w:r w:rsidRPr="00C03A0A">
              <w:t xml:space="preserve">That, on 15 June 2019, an English law </w:t>
            </w:r>
            <w:r w:rsidRPr="006711D8">
              <w:t>initial liquidity facility agreement</w:t>
            </w:r>
            <w:r w:rsidRPr="00C03A0A">
              <w:t xml:space="preserve"> for a maximum </w:t>
            </w:r>
            <w:r w:rsidRPr="00C03A0A">
              <w:rPr>
                <w:lang w:eastAsia="en-GB" w:bidi="en-GB"/>
              </w:rPr>
              <w:t>aggregate amount</w:t>
            </w:r>
            <w:r w:rsidRPr="00C03A0A">
              <w:t xml:space="preserve"> of €</w:t>
            </w:r>
            <w:r>
              <w:t>55,292,</w:t>
            </w:r>
            <w:r w:rsidRPr="00C03A0A">
              <w:t xml:space="preserve">467 was entered into between, among others, Beacon Finco </w:t>
            </w:r>
            <w:proofErr w:type="spellStart"/>
            <w:r w:rsidRPr="00C03A0A">
              <w:t>S.à</w:t>
            </w:r>
            <w:proofErr w:type="spellEnd"/>
            <w:r w:rsidRPr="00C03A0A">
              <w:t xml:space="preserve"> </w:t>
            </w:r>
            <w:proofErr w:type="spellStart"/>
            <w:r w:rsidRPr="00C03A0A">
              <w:t>r.l</w:t>
            </w:r>
            <w:proofErr w:type="spellEnd"/>
            <w:r w:rsidRPr="00C03A0A">
              <w:t xml:space="preserve">., as the Issuer, Beacon Rail Leasing, </w:t>
            </w:r>
            <w:proofErr w:type="spellStart"/>
            <w:r w:rsidRPr="00C03A0A">
              <w:t>S.à</w:t>
            </w:r>
            <w:proofErr w:type="spellEnd"/>
            <w:r w:rsidRPr="00C03A0A">
              <w:t xml:space="preserve"> </w:t>
            </w:r>
            <w:proofErr w:type="spellStart"/>
            <w:r w:rsidRPr="00C03A0A">
              <w:t>r.l</w:t>
            </w:r>
            <w:proofErr w:type="spellEnd"/>
            <w:r w:rsidRPr="00C03A0A">
              <w:t xml:space="preserve">. as the Cash Manager, Beacon Rail Leasing </w:t>
            </w:r>
            <w:proofErr w:type="spellStart"/>
            <w:r w:rsidRPr="00C03A0A">
              <w:t>S.à</w:t>
            </w:r>
            <w:proofErr w:type="spellEnd"/>
            <w:r w:rsidRPr="00C03A0A">
              <w:t xml:space="preserve"> </w:t>
            </w:r>
            <w:proofErr w:type="spellStart"/>
            <w:r w:rsidRPr="00C03A0A">
              <w:t>r.l</w:t>
            </w:r>
            <w:proofErr w:type="spellEnd"/>
            <w:r w:rsidRPr="00C03A0A">
              <w:t xml:space="preserve">. as the Security Group Agent, the Initial LF Arrangers, the </w:t>
            </w:r>
            <w:r>
              <w:t xml:space="preserve">Initial </w:t>
            </w:r>
            <w:r w:rsidRPr="00C03A0A">
              <w:t>L</w:t>
            </w:r>
            <w:r>
              <w:t xml:space="preserve">F Agent, </w:t>
            </w:r>
            <w:r w:rsidRPr="00C03A0A">
              <w:t>the Initial LF Lenders</w:t>
            </w:r>
            <w:r>
              <w:t xml:space="preserve"> and ING as Security Trustee</w:t>
            </w:r>
            <w:r w:rsidRPr="00C03A0A">
              <w:t xml:space="preserve">. Hereinafter, the </w:t>
            </w:r>
            <w:r w:rsidRPr="006711D8">
              <w:t>initial liquidity facility agreement</w:t>
            </w:r>
            <w:r w:rsidRPr="00C03A0A">
              <w:t>, as</w:t>
            </w:r>
            <w:r w:rsidRPr="00901F23">
              <w:t xml:space="preserve"> it may be amended, extended, ratified and/or </w:t>
            </w:r>
            <w:r>
              <w:t>supplemented from time to time,</w:t>
            </w:r>
            <w:r w:rsidRPr="00901F23">
              <w:t xml:space="preserve"> shall be referred to as the</w:t>
            </w:r>
            <w:r w:rsidRPr="00647C7A">
              <w:rPr>
                <w:i/>
              </w:rPr>
              <w:t xml:space="preserve"> </w:t>
            </w:r>
            <w:r w:rsidRPr="000633B2">
              <w:rPr>
                <w:b/>
              </w:rPr>
              <w:t xml:space="preserve">Initial </w:t>
            </w:r>
            <w:r>
              <w:rPr>
                <w:b/>
              </w:rPr>
              <w:t>Liquidity</w:t>
            </w:r>
            <w:r w:rsidRPr="000633B2">
              <w:rPr>
                <w:b/>
              </w:rPr>
              <w:t xml:space="preserve"> Facility Agreement</w:t>
            </w:r>
            <w:r w:rsidRPr="00647C7A">
              <w:t xml:space="preserve"> or the</w:t>
            </w:r>
            <w:r w:rsidRPr="00901F23">
              <w:t xml:space="preserve"> </w:t>
            </w:r>
            <w:r>
              <w:rPr>
                <w:b/>
              </w:rPr>
              <w:t>LF</w:t>
            </w:r>
            <w:r w:rsidRPr="00901F23">
              <w:t>.</w:t>
            </w:r>
          </w:p>
        </w:tc>
      </w:tr>
      <w:tr w:rsidR="000D089E" w:rsidRPr="0024367D" w14:paraId="7C95B30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2B6B33B" w14:textId="77777777" w:rsidR="000D089E" w:rsidRPr="0024367D" w:rsidRDefault="000D089E" w:rsidP="000D089E">
            <w:pPr>
              <w:pStyle w:val="AOA"/>
              <w:numPr>
                <w:ilvl w:val="0"/>
                <w:numId w:val="0"/>
              </w:numPr>
              <w:ind w:left="720"/>
              <w:rPr>
                <w:lang w:val="es-ES"/>
              </w:rPr>
            </w:pPr>
            <w:r w:rsidRPr="00E53971">
              <w:rPr>
                <w:lang w:val="es-ES"/>
              </w:rPr>
              <w:t xml:space="preserve">El </w:t>
            </w:r>
            <w:r w:rsidRPr="00C03A0A">
              <w:rPr>
                <w:lang w:val="es-ES" w:eastAsia="es-ES"/>
              </w:rPr>
              <w:t>C</w:t>
            </w:r>
            <w:proofErr w:type="spellStart"/>
            <w:r w:rsidRPr="00C03A0A">
              <w:rPr>
                <w:lang w:val="es" w:eastAsia="es-ES"/>
              </w:rPr>
              <w:t>ontrato</w:t>
            </w:r>
            <w:proofErr w:type="spellEnd"/>
            <w:r w:rsidRPr="00C03A0A">
              <w:rPr>
                <w:lang w:val="es" w:eastAsia="es-ES"/>
              </w:rPr>
              <w:t xml:space="preserve"> de Liquidez LF</w:t>
            </w:r>
            <w:r w:rsidRPr="00E53971">
              <w:rPr>
                <w:lang w:val="es-ES"/>
              </w:rPr>
              <w:t xml:space="preserve"> </w:t>
            </w:r>
            <w:r>
              <w:rPr>
                <w:lang w:val="es-ES"/>
              </w:rPr>
              <w:t>fue</w:t>
            </w:r>
            <w:r w:rsidRPr="00E53971">
              <w:rPr>
                <w:lang w:val="es-ES"/>
              </w:rPr>
              <w:t xml:space="preserve"> elevado a público e</w:t>
            </w:r>
            <w:r>
              <w:rPr>
                <w:lang w:val="es-ES"/>
              </w:rPr>
              <w:t xml:space="preserv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de Madrid, D. Antonio Luis Reina Gutiérrez.</w:t>
            </w:r>
            <w:r w:rsidRPr="00923375">
              <w:rPr>
                <w:b/>
                <w:i/>
                <w:lang w:val="es-ES"/>
              </w:rPr>
              <w:t xml:space="preserve"> </w:t>
            </w:r>
          </w:p>
        </w:tc>
        <w:tc>
          <w:tcPr>
            <w:tcW w:w="2500" w:type="pct"/>
            <w:shd w:val="clear" w:color="auto" w:fill="auto"/>
          </w:tcPr>
          <w:p w14:paraId="7606C3E2" w14:textId="77777777" w:rsidR="000D089E" w:rsidRPr="0024367D" w:rsidRDefault="000D089E" w:rsidP="000D089E">
            <w:pPr>
              <w:pStyle w:val="AODocTxt"/>
              <w:numPr>
                <w:ilvl w:val="0"/>
                <w:numId w:val="0"/>
              </w:numPr>
              <w:ind w:left="720"/>
            </w:pPr>
            <w:r>
              <w:rPr>
                <w:lang w:eastAsia="en-GB" w:bidi="en-GB"/>
              </w:rPr>
              <w:t xml:space="preserve">The </w:t>
            </w:r>
            <w:r w:rsidRPr="00C03A0A">
              <w:rPr>
                <w:lang w:eastAsia="en-GB" w:bidi="en-GB"/>
              </w:rPr>
              <w:t>Initial Liquidity Facility Agreement</w:t>
            </w:r>
            <w:r w:rsidRPr="00901F23">
              <w:rPr>
                <w:lang w:eastAsia="en-GB" w:bidi="en-GB"/>
              </w:rPr>
              <w:t xml:space="preserve"> </w:t>
            </w:r>
            <w:r>
              <w:rPr>
                <w:lang w:eastAsia="en-GB" w:bidi="en-GB"/>
              </w:rPr>
              <w:t>was</w:t>
            </w:r>
            <w:r w:rsidRPr="00901F23">
              <w:rPr>
                <w:lang w:eastAsia="en-GB" w:bidi="en-GB"/>
              </w:rPr>
              <w:t xml:space="preserve"> raised to the status of public document</w:t>
            </w:r>
            <w:r>
              <w:rPr>
                <w:lang w:eastAsia="en-GB" w:bidi="en-GB"/>
              </w:rPr>
              <w:t xml:space="preserve"> on</w:t>
            </w:r>
            <w:r w:rsidRPr="00901F23">
              <w:rPr>
                <w:lang w:eastAsia="en-GB" w:bidi="en-GB"/>
              </w:rPr>
              <w:t xml:space="preserve"> </w:t>
            </w:r>
            <w:r>
              <w:rPr>
                <w:lang w:eastAsia="en-GB" w:bidi="en-GB"/>
              </w:rPr>
              <w:t>22 April 2021</w:t>
            </w:r>
            <w:r w:rsidRPr="00901F23">
              <w:rPr>
                <w:lang w:eastAsia="en-GB" w:bidi="en-GB"/>
              </w:rPr>
              <w:t xml:space="preserve"> by means of a deed</w:t>
            </w:r>
            <w:r>
              <w:rPr>
                <w:lang w:eastAsia="en-GB" w:bidi="en-GB"/>
              </w:rPr>
              <w:t xml:space="preserve"> intervened by</w:t>
            </w:r>
            <w:r w:rsidRPr="00973006">
              <w:rPr>
                <w:lang w:eastAsia="en-GB" w:bidi="en-GB"/>
              </w:rPr>
              <w:t xml:space="preserve"> the Notary</w:t>
            </w:r>
            <w:r>
              <w:rPr>
                <w:lang w:eastAsia="en-GB" w:bidi="en-GB"/>
              </w:rPr>
              <w:t xml:space="preserve"> of Madrid, Mr. </w:t>
            </w:r>
            <w:r w:rsidRPr="00707E42">
              <w:rPr>
                <w:lang w:eastAsia="en-GB" w:bidi="en-GB"/>
              </w:rPr>
              <w:t>Antonio Luis Reina Gutiérrez</w:t>
            </w:r>
            <w:r>
              <w:rPr>
                <w:lang w:eastAsia="en-GB" w:bidi="en-GB"/>
              </w:rPr>
              <w:t>.</w:t>
            </w:r>
            <w:r w:rsidRPr="00137772">
              <w:rPr>
                <w:lang w:eastAsia="en-GB" w:bidi="en-GB"/>
              </w:rPr>
              <w:t xml:space="preserve"> </w:t>
            </w:r>
          </w:p>
        </w:tc>
      </w:tr>
      <w:tr w:rsidR="000D089E" w:rsidRPr="00901F23" w14:paraId="5DF9326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60306F7" w14:textId="77777777" w:rsidR="000D089E" w:rsidRPr="00E53971" w:rsidRDefault="000D089E" w:rsidP="000D089E">
            <w:pPr>
              <w:pStyle w:val="AOA"/>
              <w:rPr>
                <w:lang w:val="es-ES"/>
              </w:rPr>
            </w:pPr>
            <w:r w:rsidRPr="0024367D">
              <w:rPr>
                <w:lang w:val="es-ES"/>
              </w:rPr>
              <w:t>Que</w:t>
            </w:r>
            <w:r>
              <w:rPr>
                <w:lang w:val="es-ES"/>
              </w:rPr>
              <w:t xml:space="preserve"> </w:t>
            </w:r>
            <w:r w:rsidRPr="0024367D">
              <w:rPr>
                <w:lang w:val="es-ES"/>
              </w:rPr>
              <w:t xml:space="preserve">con fecha 15 de junio de 2019 </w:t>
            </w:r>
            <w:r>
              <w:rPr>
                <w:lang w:val="es-ES"/>
              </w:rPr>
              <w:t>se suscribió</w:t>
            </w:r>
            <w:r w:rsidRPr="0024367D">
              <w:rPr>
                <w:lang w:val="es-ES"/>
              </w:rPr>
              <w:t xml:space="preserve"> un contrato de </w:t>
            </w:r>
            <w:r>
              <w:rPr>
                <w:lang w:val="es-ES"/>
              </w:rPr>
              <w:t>financiación bancario institucional</w:t>
            </w:r>
            <w:r w:rsidRPr="0024367D">
              <w:rPr>
                <w:lang w:val="es-ES"/>
              </w:rPr>
              <w:t xml:space="preserve"> (</w:t>
            </w:r>
            <w:proofErr w:type="spellStart"/>
            <w:r w:rsidRPr="001624F5">
              <w:rPr>
                <w:i/>
                <w:lang w:val="es-ES"/>
              </w:rPr>
              <w:t>Institutional</w:t>
            </w:r>
            <w:proofErr w:type="spellEnd"/>
            <w:r w:rsidRPr="001624F5">
              <w:rPr>
                <w:i/>
                <w:lang w:val="es-ES"/>
              </w:rPr>
              <w:t xml:space="preserve"> and Bank Facilities</w:t>
            </w:r>
            <w:r>
              <w:rPr>
                <w:i/>
                <w:lang w:val="es-ES"/>
              </w:rPr>
              <w:t xml:space="preserve"> </w:t>
            </w:r>
            <w:proofErr w:type="spellStart"/>
            <w:r>
              <w:rPr>
                <w:i/>
                <w:lang w:val="es-ES"/>
              </w:rPr>
              <w:t>Agreement</w:t>
            </w:r>
            <w:proofErr w:type="spellEnd"/>
            <w:r w:rsidRPr="0024367D">
              <w:rPr>
                <w:lang w:val="es-ES"/>
              </w:rPr>
              <w:t xml:space="preserve">) por importe máximo </w:t>
            </w:r>
            <w:r>
              <w:rPr>
                <w:lang w:val="es-ES"/>
              </w:rPr>
              <w:t xml:space="preserve">agregado </w:t>
            </w:r>
            <w:r w:rsidRPr="0024367D">
              <w:rPr>
                <w:lang w:val="es-ES"/>
              </w:rPr>
              <w:t>de €</w:t>
            </w:r>
            <w:r>
              <w:rPr>
                <w:lang w:val="es-ES"/>
              </w:rPr>
              <w:t xml:space="preserve">310.000.000 y </w:t>
            </w:r>
            <w:r w:rsidRPr="00150063">
              <w:rPr>
                <w:lang w:val="es-ES" w:eastAsia="en-GB" w:bidi="en-GB"/>
              </w:rPr>
              <w:t>£15</w:t>
            </w:r>
            <w:r>
              <w:rPr>
                <w:lang w:val="es-ES" w:eastAsia="en-GB" w:bidi="en-GB"/>
              </w:rPr>
              <w:t>7.000.000</w:t>
            </w:r>
            <w:r w:rsidRPr="0024367D">
              <w:rPr>
                <w:lang w:val="es-ES"/>
              </w:rPr>
              <w:t xml:space="preserve">, sujeto a ley inglesa, por, entre otros, Beacon Finco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w:t>
            </w:r>
            <w:r w:rsidRPr="0024367D">
              <w:rPr>
                <w:b/>
                <w:lang w:val="es-ES"/>
              </w:rPr>
              <w:t xml:space="preserve"> </w:t>
            </w:r>
            <w:r w:rsidRPr="0024367D">
              <w:rPr>
                <w:lang w:val="es-ES"/>
              </w:rPr>
              <w:t>como emisor (</w:t>
            </w:r>
            <w:proofErr w:type="spellStart"/>
            <w:r w:rsidRPr="0024367D">
              <w:rPr>
                <w:i/>
                <w:lang w:val="es-ES"/>
              </w:rPr>
              <w:t>Issuer</w:t>
            </w:r>
            <w:proofErr w:type="spellEnd"/>
            <w:r w:rsidRPr="0024367D">
              <w:rPr>
                <w:lang w:val="es-ES"/>
              </w:rPr>
              <w:t xml:space="preserve">), </w:t>
            </w:r>
            <w:r>
              <w:rPr>
                <w:lang w:val="es-ES"/>
              </w:rPr>
              <w:t xml:space="preserve">las </w:t>
            </w:r>
            <w:r w:rsidRPr="004C3300">
              <w:rPr>
                <w:lang w:val="es-ES"/>
              </w:rPr>
              <w:t xml:space="preserve">Entidades Financiadoras </w:t>
            </w:r>
            <w:r>
              <w:rPr>
                <w:lang w:val="es-ES"/>
              </w:rPr>
              <w:t xml:space="preserve">Originales </w:t>
            </w:r>
            <w:r w:rsidRPr="004C3300">
              <w:rPr>
                <w:lang w:val="es-ES"/>
              </w:rPr>
              <w:t>IBFA</w:t>
            </w:r>
            <w:r>
              <w:rPr>
                <w:lang w:val="es-ES"/>
              </w:rPr>
              <w:t xml:space="preserve"> (</w:t>
            </w:r>
            <w:r>
              <w:rPr>
                <w:i/>
                <w:lang w:val="es-ES"/>
              </w:rPr>
              <w:t xml:space="preserve">Original </w:t>
            </w:r>
            <w:proofErr w:type="spellStart"/>
            <w:r>
              <w:rPr>
                <w:i/>
                <w:lang w:val="es-ES"/>
              </w:rPr>
              <w:t>Lenders</w:t>
            </w:r>
            <w:proofErr w:type="spellEnd"/>
            <w:r>
              <w:rPr>
                <w:lang w:val="es-ES"/>
              </w:rPr>
              <w:t xml:space="preserve">), el </w:t>
            </w:r>
            <w:r w:rsidRPr="004C3300">
              <w:rPr>
                <w:lang w:val="es-ES"/>
              </w:rPr>
              <w:t>Agente IBFA</w:t>
            </w:r>
            <w:r>
              <w:rPr>
                <w:lang w:val="es-ES"/>
              </w:rPr>
              <w:t xml:space="preserve"> (</w:t>
            </w:r>
            <w:proofErr w:type="spellStart"/>
            <w:r w:rsidRPr="00157141">
              <w:rPr>
                <w:i/>
                <w:lang w:val="es-ES"/>
              </w:rPr>
              <w:t>Institutional</w:t>
            </w:r>
            <w:proofErr w:type="spellEnd"/>
            <w:r w:rsidRPr="00157141">
              <w:rPr>
                <w:i/>
                <w:lang w:val="es-ES"/>
              </w:rPr>
              <w:t xml:space="preserve"> and Bank Facilities </w:t>
            </w:r>
            <w:proofErr w:type="spellStart"/>
            <w:r w:rsidRPr="00157141">
              <w:rPr>
                <w:i/>
                <w:lang w:val="es-ES"/>
              </w:rPr>
              <w:t>Agent</w:t>
            </w:r>
            <w:proofErr w:type="spellEnd"/>
            <w:r>
              <w:rPr>
                <w:lang w:val="es-ES"/>
              </w:rPr>
              <w:t>)</w:t>
            </w:r>
            <w:r w:rsidRPr="0024367D">
              <w:rPr>
                <w:lang w:val="es-ES"/>
              </w:rPr>
              <w:t xml:space="preserve"> y 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xml:space="preserve">. como agente de garantías del grupo </w:t>
            </w:r>
            <w:r w:rsidRPr="0024367D">
              <w:rPr>
                <w:lang w:val="es-ES"/>
              </w:rPr>
              <w:lastRenderedPageBreak/>
              <w:t>(</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 xml:space="preserve">). </w:t>
            </w:r>
            <w:r w:rsidRPr="00E53971">
              <w:rPr>
                <w:lang w:val="es-ES"/>
              </w:rPr>
              <w:t xml:space="preserve">En adelante, el </w:t>
            </w:r>
            <w:r w:rsidRPr="0024367D">
              <w:rPr>
                <w:lang w:val="es-ES"/>
              </w:rPr>
              <w:t xml:space="preserve">contrato de </w:t>
            </w:r>
            <w:r>
              <w:rPr>
                <w:lang w:val="es-ES"/>
              </w:rPr>
              <w:t>financiación bancario institucional</w:t>
            </w:r>
            <w:r w:rsidRPr="00E53971">
              <w:rPr>
                <w:lang w:val="es-ES"/>
              </w:rPr>
              <w:t xml:space="preserve">, tal y como el </w:t>
            </w:r>
            <w:r>
              <w:rPr>
                <w:lang w:val="es-ES"/>
              </w:rPr>
              <w:t>m</w:t>
            </w:r>
            <w:r w:rsidRPr="00E53971">
              <w:rPr>
                <w:lang w:val="es-ES"/>
              </w:rPr>
              <w:t>ismo sea modificado, extendido, ratificado y/o complementado en cada momento</w:t>
            </w:r>
            <w:r>
              <w:rPr>
                <w:lang w:val="es-ES"/>
              </w:rPr>
              <w:t xml:space="preserve"> y, en particular, tal y como el mismo fue modificado en fecha 24 de junio de 2019</w:t>
            </w:r>
            <w:r w:rsidRPr="00E53971">
              <w:rPr>
                <w:lang w:val="es-ES"/>
              </w:rPr>
              <w:t>, será referido como el</w:t>
            </w:r>
            <w:r>
              <w:rPr>
                <w:lang w:val="es-ES"/>
              </w:rPr>
              <w:t xml:space="preserve"> </w:t>
            </w:r>
            <w:r w:rsidRPr="008C6765">
              <w:rPr>
                <w:b/>
                <w:lang w:val="es-ES"/>
              </w:rPr>
              <w:t>Contrato de Financiación Bancario e Institucional</w:t>
            </w:r>
            <w:r>
              <w:rPr>
                <w:i/>
                <w:lang w:val="es-ES"/>
              </w:rPr>
              <w:t xml:space="preserve"> </w:t>
            </w:r>
            <w:r w:rsidRPr="00BF3BA5">
              <w:rPr>
                <w:lang w:val="es-ES"/>
              </w:rPr>
              <w:t>o el</w:t>
            </w:r>
            <w:r w:rsidRPr="00E53971">
              <w:rPr>
                <w:lang w:val="es-ES"/>
              </w:rPr>
              <w:t xml:space="preserve"> </w:t>
            </w:r>
            <w:r>
              <w:rPr>
                <w:b/>
                <w:lang w:val="es-ES"/>
              </w:rPr>
              <w:t>IBFA</w:t>
            </w:r>
            <w:r w:rsidRPr="00E53971">
              <w:rPr>
                <w:lang w:val="es-ES"/>
              </w:rPr>
              <w:t>.</w:t>
            </w:r>
          </w:p>
        </w:tc>
        <w:tc>
          <w:tcPr>
            <w:tcW w:w="2500" w:type="pct"/>
            <w:shd w:val="clear" w:color="auto" w:fill="auto"/>
          </w:tcPr>
          <w:p w14:paraId="5D6099CD" w14:textId="2EB65C91" w:rsidR="000D089E" w:rsidRPr="00901F23" w:rsidRDefault="000D089E" w:rsidP="000D089E">
            <w:pPr>
              <w:pStyle w:val="AODocTxt"/>
              <w:numPr>
                <w:ilvl w:val="0"/>
                <w:numId w:val="39"/>
              </w:numPr>
              <w:ind w:hanging="720"/>
            </w:pPr>
            <w:r w:rsidRPr="0024367D">
              <w:lastRenderedPageBreak/>
              <w:t xml:space="preserve">That, </w:t>
            </w:r>
            <w:r w:rsidRPr="00C03A0A">
              <w:t>on 15 June 2019</w:t>
            </w:r>
            <w:r w:rsidRPr="0024367D">
              <w:t xml:space="preserve">, </w:t>
            </w:r>
            <w:r w:rsidRPr="00647C7A">
              <w:t xml:space="preserve">an English law </w:t>
            </w:r>
            <w:r>
              <w:t xml:space="preserve">institutional and bank </w:t>
            </w:r>
            <w:r w:rsidRPr="00647C7A">
              <w:t xml:space="preserve">facilities agreement for a </w:t>
            </w:r>
            <w:r w:rsidRPr="00901F23">
              <w:t xml:space="preserve">maximum </w:t>
            </w:r>
            <w:r w:rsidRPr="00647C7A">
              <w:rPr>
                <w:lang w:eastAsia="en-GB" w:bidi="en-GB"/>
              </w:rPr>
              <w:t>aggregate amount</w:t>
            </w:r>
            <w:r w:rsidRPr="00901F23">
              <w:t xml:space="preserve"> of </w:t>
            </w:r>
            <w:r w:rsidRPr="00416E19">
              <w:t>€</w:t>
            </w:r>
            <w:r>
              <w:t>310,000,000 and</w:t>
            </w:r>
            <w:r w:rsidRPr="00901F23">
              <w:t xml:space="preserve"> </w:t>
            </w:r>
            <w:r w:rsidRPr="00647C7A">
              <w:rPr>
                <w:lang w:eastAsia="en-GB" w:bidi="en-GB"/>
              </w:rPr>
              <w:t>£15</w:t>
            </w:r>
            <w:r>
              <w:rPr>
                <w:lang w:eastAsia="en-GB" w:bidi="en-GB"/>
              </w:rPr>
              <w:t xml:space="preserve">7,000,000 </w:t>
            </w:r>
            <w:r>
              <w:t>was</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the Issuer</w:t>
            </w:r>
            <w:r w:rsidRPr="00901F23">
              <w:t>,</w:t>
            </w:r>
            <w:r>
              <w:t xml:space="preserve"> the</w:t>
            </w:r>
            <w:r w:rsidRPr="00901F23">
              <w:t xml:space="preserve"> </w:t>
            </w:r>
            <w:r>
              <w:t>Original</w:t>
            </w:r>
            <w:r w:rsidRPr="004C3300">
              <w:t xml:space="preserve"> </w:t>
            </w:r>
            <w:r>
              <w:t xml:space="preserve">IBFA </w:t>
            </w:r>
            <w:r w:rsidRPr="004C3300">
              <w:t>Lenders</w:t>
            </w:r>
            <w:r w:rsidRPr="00901F23">
              <w:t xml:space="preserve">, </w:t>
            </w:r>
            <w:r>
              <w:t xml:space="preserve">the </w:t>
            </w:r>
            <w:r w:rsidRPr="00906AC2">
              <w:t>IBFA Agent</w:t>
            </w:r>
            <w:r>
              <w:rPr>
                <w:b/>
              </w:rPr>
              <w:t xml:space="preserve"> </w:t>
            </w:r>
            <w:r w:rsidRPr="00901F23">
              <w:t xml:space="preserve">and </w:t>
            </w:r>
            <w:r>
              <w:t xml:space="preserve">Beacon Rail Leasing </w:t>
            </w:r>
            <w:proofErr w:type="spellStart"/>
            <w:r>
              <w:t>S.à</w:t>
            </w:r>
            <w:proofErr w:type="spellEnd"/>
            <w:r>
              <w:t xml:space="preserve"> </w:t>
            </w:r>
            <w:proofErr w:type="spellStart"/>
            <w:r>
              <w:t>r.l</w:t>
            </w:r>
            <w:proofErr w:type="spellEnd"/>
            <w:r>
              <w:t xml:space="preserve">. as </w:t>
            </w:r>
            <w:r w:rsidRPr="00901F23">
              <w:t xml:space="preserve">Security </w:t>
            </w:r>
            <w:r>
              <w:t xml:space="preserve">Group </w:t>
            </w:r>
            <w:r w:rsidRPr="00901F23">
              <w:t>Agent</w:t>
            </w:r>
            <w:r>
              <w:t>. H</w:t>
            </w:r>
            <w:r w:rsidRPr="00901F23">
              <w:t xml:space="preserve">ereinafter, the </w:t>
            </w:r>
            <w:r>
              <w:t xml:space="preserve">institutional and bank </w:t>
            </w:r>
            <w:r w:rsidRPr="00647C7A">
              <w:t>facilities agreement</w:t>
            </w:r>
            <w:r w:rsidRPr="00901F23">
              <w:t xml:space="preserve">, as it may be amended, extended, ratified and/or </w:t>
            </w:r>
            <w:r>
              <w:t>supplemented from time to time and</w:t>
            </w:r>
            <w:proofErr w:type="gramStart"/>
            <w:r>
              <w:t xml:space="preserve">, in </w:t>
            </w:r>
            <w:r>
              <w:lastRenderedPageBreak/>
              <w:t>particular, as</w:t>
            </w:r>
            <w:proofErr w:type="gramEnd"/>
            <w:r>
              <w:t xml:space="preserve"> it has been </w:t>
            </w:r>
            <w:r w:rsidRPr="00901F23">
              <w:t>amended</w:t>
            </w:r>
            <w:r>
              <w:t xml:space="preserve"> on 24 June 2019,</w:t>
            </w:r>
            <w:r w:rsidRPr="00901F23">
              <w:t xml:space="preserve"> shall be referred to as the</w:t>
            </w:r>
            <w:r w:rsidRPr="00647C7A">
              <w:rPr>
                <w:i/>
              </w:rPr>
              <w:t xml:space="preserve"> </w:t>
            </w:r>
            <w:r w:rsidRPr="001A1A2A">
              <w:rPr>
                <w:b/>
              </w:rPr>
              <w:t>Institutional and Bank Facilities Agreement</w:t>
            </w:r>
            <w:r w:rsidRPr="00647C7A">
              <w:t xml:space="preserve"> or the</w:t>
            </w:r>
            <w:r w:rsidRPr="00901F23">
              <w:t xml:space="preserve"> </w:t>
            </w:r>
            <w:r w:rsidRPr="00A205D5">
              <w:rPr>
                <w:b/>
              </w:rPr>
              <w:t>IBFA</w:t>
            </w:r>
            <w:r w:rsidRPr="00901F23">
              <w:t>.</w:t>
            </w:r>
          </w:p>
        </w:tc>
      </w:tr>
      <w:tr w:rsidR="000D089E" w:rsidRPr="0024367D" w14:paraId="61CFDE2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C0F6698" w14:textId="77777777" w:rsidR="000D089E" w:rsidRPr="0024367D" w:rsidRDefault="000D089E" w:rsidP="000D089E">
            <w:pPr>
              <w:pStyle w:val="AODocTxtL1"/>
              <w:rPr>
                <w:lang w:val="es-ES"/>
              </w:rPr>
            </w:pPr>
            <w:r w:rsidRPr="00E53971">
              <w:rPr>
                <w:lang w:val="es-ES"/>
              </w:rPr>
              <w:lastRenderedPageBreak/>
              <w:t xml:space="preserve">El </w:t>
            </w:r>
            <w:r w:rsidRPr="008C6765">
              <w:rPr>
                <w:lang w:val="es-ES"/>
              </w:rPr>
              <w:t>Contrato de Financiación Bancario e Institucional</w:t>
            </w:r>
            <w:r w:rsidRPr="00E53971">
              <w:rPr>
                <w:lang w:val="es-ES"/>
              </w:rPr>
              <w:t xml:space="preserve"> </w:t>
            </w:r>
            <w:r>
              <w:rPr>
                <w:lang w:val="es-ES"/>
              </w:rPr>
              <w:t>fue</w:t>
            </w:r>
            <w:r w:rsidRPr="00E53971">
              <w:rPr>
                <w:lang w:val="es-ES"/>
              </w:rPr>
              <w:t xml:space="preserve"> elevado a público e</w:t>
            </w:r>
            <w:r>
              <w:rPr>
                <w:lang w:val="es-ES"/>
              </w:rPr>
              <w:t xml:space="preserv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 xml:space="preserve">de Madrid, D. Antonio Luis Reina Gutiérrez. </w:t>
            </w:r>
          </w:p>
        </w:tc>
        <w:tc>
          <w:tcPr>
            <w:tcW w:w="2500" w:type="pct"/>
            <w:shd w:val="clear" w:color="auto" w:fill="auto"/>
          </w:tcPr>
          <w:p w14:paraId="35DFB281" w14:textId="77777777" w:rsidR="000D089E" w:rsidRPr="0024367D" w:rsidRDefault="000D089E" w:rsidP="000D089E">
            <w:pPr>
              <w:pStyle w:val="AODocTxtL1"/>
            </w:pPr>
            <w:r>
              <w:t xml:space="preserve">The </w:t>
            </w:r>
            <w:r w:rsidRPr="0039658A">
              <w:t>Institutional and Bank Facilities Agreement</w:t>
            </w:r>
            <w:r w:rsidRPr="00901F23">
              <w:t xml:space="preserve"> </w:t>
            </w:r>
            <w:r>
              <w:t>was</w:t>
            </w:r>
            <w:r w:rsidRPr="00901F23">
              <w:t xml:space="preserve"> raised to the status of public document</w:t>
            </w:r>
            <w:r>
              <w:t xml:space="preserve"> on</w:t>
            </w:r>
            <w:r w:rsidRPr="00901F23">
              <w:t xml:space="preserve"> </w:t>
            </w:r>
            <w:r>
              <w:t>22 April 2021</w:t>
            </w:r>
            <w:r w:rsidRPr="00901F23">
              <w:t xml:space="preserve"> by means of a deed</w:t>
            </w:r>
            <w:r>
              <w:t xml:space="preserve"> intervened by</w:t>
            </w:r>
            <w:r w:rsidRPr="00973006">
              <w:t xml:space="preserve"> the Notary</w:t>
            </w:r>
            <w:r>
              <w:t xml:space="preserve"> of Madrid, Mr. </w:t>
            </w:r>
            <w:r w:rsidRPr="00707E42">
              <w:t>Antonio Luis Reina Gutiérrez</w:t>
            </w:r>
            <w:r>
              <w:t>.</w:t>
            </w:r>
            <w:r w:rsidRPr="00923375">
              <w:rPr>
                <w:b/>
                <w:i/>
              </w:rPr>
              <w:t xml:space="preserve"> </w:t>
            </w:r>
          </w:p>
        </w:tc>
      </w:tr>
      <w:tr w:rsidR="000D089E" w:rsidRPr="00901F23" w14:paraId="1DA7F61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E8B199E" w14:textId="77777777" w:rsidR="000D089E" w:rsidRPr="00E53971" w:rsidRDefault="000D089E" w:rsidP="000D089E">
            <w:pPr>
              <w:pStyle w:val="AOA"/>
              <w:rPr>
                <w:lang w:val="es-ES"/>
              </w:rPr>
            </w:pPr>
            <w:r w:rsidRPr="0024367D">
              <w:rPr>
                <w:lang w:val="es-ES"/>
              </w:rPr>
              <w:t>Que</w:t>
            </w:r>
            <w:r>
              <w:rPr>
                <w:lang w:val="es-ES"/>
              </w:rPr>
              <w:t xml:space="preserve"> </w:t>
            </w:r>
            <w:r w:rsidRPr="0024367D">
              <w:rPr>
                <w:lang w:val="es-ES"/>
              </w:rPr>
              <w:t xml:space="preserve">con fecha 15 de junio de 2019 </w:t>
            </w:r>
            <w:r>
              <w:rPr>
                <w:lang w:val="es-ES"/>
              </w:rPr>
              <w:t>se suscribió</w:t>
            </w:r>
            <w:r w:rsidRPr="0024367D">
              <w:rPr>
                <w:lang w:val="es-ES"/>
              </w:rPr>
              <w:t xml:space="preserve"> un contrato de </w:t>
            </w:r>
            <w:r>
              <w:rPr>
                <w:lang w:val="es-ES"/>
              </w:rPr>
              <w:t xml:space="preserve">financiación institucional </w:t>
            </w:r>
            <w:r w:rsidRPr="0024367D">
              <w:rPr>
                <w:lang w:val="es-ES"/>
              </w:rPr>
              <w:t>(</w:t>
            </w:r>
            <w:proofErr w:type="spellStart"/>
            <w:r w:rsidRPr="001624F5">
              <w:rPr>
                <w:i/>
                <w:lang w:val="es-ES"/>
              </w:rPr>
              <w:t>Institutional</w:t>
            </w:r>
            <w:proofErr w:type="spellEnd"/>
            <w:r w:rsidRPr="001624F5">
              <w:rPr>
                <w:i/>
                <w:lang w:val="es-ES"/>
              </w:rPr>
              <w:t xml:space="preserve"> </w:t>
            </w:r>
            <w:proofErr w:type="spellStart"/>
            <w:r>
              <w:rPr>
                <w:i/>
                <w:lang w:val="es-ES"/>
              </w:rPr>
              <w:t>Facility</w:t>
            </w:r>
            <w:proofErr w:type="spellEnd"/>
            <w:r>
              <w:rPr>
                <w:i/>
                <w:lang w:val="es-ES"/>
              </w:rPr>
              <w:t xml:space="preserve"> </w:t>
            </w:r>
            <w:proofErr w:type="spellStart"/>
            <w:r>
              <w:rPr>
                <w:i/>
                <w:lang w:val="es-ES"/>
              </w:rPr>
              <w:t>Agreement</w:t>
            </w:r>
            <w:proofErr w:type="spellEnd"/>
            <w:r w:rsidRPr="0024367D">
              <w:rPr>
                <w:lang w:val="es-ES"/>
              </w:rPr>
              <w:t xml:space="preserve">) por importe máximo </w:t>
            </w:r>
            <w:r>
              <w:rPr>
                <w:lang w:val="es-ES"/>
              </w:rPr>
              <w:t xml:space="preserve">agregado </w:t>
            </w:r>
            <w:r w:rsidRPr="0024367D">
              <w:rPr>
                <w:lang w:val="es-ES"/>
              </w:rPr>
              <w:t>de €</w:t>
            </w:r>
            <w:r>
              <w:rPr>
                <w:lang w:val="es-ES"/>
              </w:rPr>
              <w:t xml:space="preserve">36.220.375, </w:t>
            </w:r>
            <w:r w:rsidRPr="0024367D">
              <w:rPr>
                <w:lang w:val="es-ES"/>
              </w:rPr>
              <w:t xml:space="preserve">sujeto a ley inglesa, por, entre otros, Beacon Finco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w:t>
            </w:r>
            <w:r w:rsidRPr="0024367D">
              <w:rPr>
                <w:b/>
                <w:lang w:val="es-ES"/>
              </w:rPr>
              <w:t xml:space="preserve"> </w:t>
            </w:r>
            <w:r w:rsidRPr="0024367D">
              <w:rPr>
                <w:lang w:val="es-ES"/>
              </w:rPr>
              <w:t>como emisor (</w:t>
            </w:r>
            <w:proofErr w:type="spellStart"/>
            <w:r w:rsidRPr="0024367D">
              <w:rPr>
                <w:i/>
                <w:lang w:val="es-ES"/>
              </w:rPr>
              <w:t>Issuer</w:t>
            </w:r>
            <w:proofErr w:type="spellEnd"/>
            <w:r w:rsidRPr="0024367D">
              <w:rPr>
                <w:lang w:val="es-ES"/>
              </w:rPr>
              <w:t xml:space="preserve">), </w:t>
            </w:r>
            <w:r>
              <w:rPr>
                <w:lang w:val="es-ES"/>
              </w:rPr>
              <w:t xml:space="preserve">las </w:t>
            </w:r>
            <w:r w:rsidRPr="004C3300">
              <w:rPr>
                <w:lang w:val="es-ES"/>
              </w:rPr>
              <w:t xml:space="preserve">Entidades Financiadoras </w:t>
            </w:r>
            <w:r>
              <w:rPr>
                <w:lang w:val="es-ES"/>
              </w:rPr>
              <w:t xml:space="preserve">Originales </w:t>
            </w:r>
            <w:r w:rsidRPr="004C3300">
              <w:rPr>
                <w:lang w:val="es-ES"/>
              </w:rPr>
              <w:t>IFA</w:t>
            </w:r>
            <w:r>
              <w:rPr>
                <w:lang w:val="es-ES"/>
              </w:rPr>
              <w:t xml:space="preserve"> (</w:t>
            </w:r>
            <w:r>
              <w:rPr>
                <w:i/>
                <w:lang w:val="es-ES"/>
              </w:rPr>
              <w:t xml:space="preserve">Original </w:t>
            </w:r>
            <w:proofErr w:type="spellStart"/>
            <w:r>
              <w:rPr>
                <w:i/>
                <w:lang w:val="es-ES"/>
              </w:rPr>
              <w:t>Lenders</w:t>
            </w:r>
            <w:proofErr w:type="spellEnd"/>
            <w:r>
              <w:rPr>
                <w:lang w:val="es-ES"/>
              </w:rPr>
              <w:t xml:space="preserve">), el </w:t>
            </w:r>
            <w:r w:rsidRPr="004C3300">
              <w:rPr>
                <w:lang w:val="es-ES"/>
              </w:rPr>
              <w:t>Agente IFA</w:t>
            </w:r>
            <w:r>
              <w:rPr>
                <w:lang w:val="es-ES"/>
              </w:rPr>
              <w:t xml:space="preserve"> (</w:t>
            </w:r>
            <w:proofErr w:type="spellStart"/>
            <w:r w:rsidRPr="00157141">
              <w:rPr>
                <w:i/>
                <w:lang w:val="es-ES"/>
              </w:rPr>
              <w:t>Institutional</w:t>
            </w:r>
            <w:proofErr w:type="spellEnd"/>
            <w:r w:rsidRPr="00157141">
              <w:rPr>
                <w:i/>
                <w:lang w:val="es-ES"/>
              </w:rPr>
              <w:t xml:space="preserve"> </w:t>
            </w:r>
            <w:proofErr w:type="spellStart"/>
            <w:r>
              <w:rPr>
                <w:i/>
                <w:lang w:val="es-ES"/>
              </w:rPr>
              <w:t>Facility</w:t>
            </w:r>
            <w:proofErr w:type="spellEnd"/>
            <w:r w:rsidRPr="00157141">
              <w:rPr>
                <w:i/>
                <w:lang w:val="es-ES"/>
              </w:rPr>
              <w:t xml:space="preserve"> </w:t>
            </w:r>
            <w:proofErr w:type="spellStart"/>
            <w:r w:rsidRPr="00157141">
              <w:rPr>
                <w:i/>
                <w:lang w:val="es-ES"/>
              </w:rPr>
              <w:t>Agent</w:t>
            </w:r>
            <w:proofErr w:type="spellEnd"/>
            <w:r>
              <w:rPr>
                <w:lang w:val="es-ES"/>
              </w:rPr>
              <w:t>)</w:t>
            </w:r>
            <w:r w:rsidRPr="0024367D">
              <w:rPr>
                <w:lang w:val="es-ES"/>
              </w:rPr>
              <w:t xml:space="preserve"> y 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 xml:space="preserve">). </w:t>
            </w:r>
            <w:r w:rsidRPr="00E53971">
              <w:rPr>
                <w:lang w:val="es-ES"/>
              </w:rPr>
              <w:t xml:space="preserve">En adelante, el </w:t>
            </w:r>
            <w:r w:rsidRPr="0024367D">
              <w:rPr>
                <w:lang w:val="es-ES"/>
              </w:rPr>
              <w:t xml:space="preserve">contrato de </w:t>
            </w:r>
            <w:r>
              <w:rPr>
                <w:lang w:val="es-ES"/>
              </w:rPr>
              <w:t>financiación institucional</w:t>
            </w:r>
            <w:r w:rsidRPr="00E53971">
              <w:rPr>
                <w:lang w:val="es-ES"/>
              </w:rPr>
              <w:t xml:space="preserve">, tal y como el </w:t>
            </w:r>
            <w:r>
              <w:rPr>
                <w:lang w:val="es-ES"/>
              </w:rPr>
              <w:t>m</w:t>
            </w:r>
            <w:r w:rsidRPr="00E53971">
              <w:rPr>
                <w:lang w:val="es-ES"/>
              </w:rPr>
              <w:t>ismo sea modificado, extendido, ratificado y/o complementado en cada momento</w:t>
            </w:r>
            <w:r>
              <w:rPr>
                <w:lang w:val="es-ES"/>
              </w:rPr>
              <w:t xml:space="preserve">, </w:t>
            </w:r>
            <w:r w:rsidRPr="00E53971">
              <w:rPr>
                <w:lang w:val="es-ES"/>
              </w:rPr>
              <w:t>será referido como el</w:t>
            </w:r>
            <w:r>
              <w:rPr>
                <w:lang w:val="es-ES"/>
              </w:rPr>
              <w:t xml:space="preserve"> </w:t>
            </w:r>
            <w:r w:rsidRPr="00C218EF">
              <w:rPr>
                <w:b/>
                <w:lang w:val="es-ES"/>
              </w:rPr>
              <w:t>Contrato de Financiación Institucional</w:t>
            </w:r>
            <w:r>
              <w:rPr>
                <w:i/>
                <w:lang w:val="es-ES"/>
              </w:rPr>
              <w:t xml:space="preserve"> </w:t>
            </w:r>
            <w:r w:rsidRPr="00BF3BA5">
              <w:rPr>
                <w:lang w:val="es-ES"/>
              </w:rPr>
              <w:t>o el</w:t>
            </w:r>
            <w:r>
              <w:rPr>
                <w:i/>
                <w:lang w:val="es-ES"/>
              </w:rPr>
              <w:t xml:space="preserve"> </w:t>
            </w:r>
            <w:r>
              <w:rPr>
                <w:b/>
                <w:lang w:val="es-ES"/>
              </w:rPr>
              <w:t>IFA</w:t>
            </w:r>
            <w:r w:rsidRPr="00E53971">
              <w:rPr>
                <w:lang w:val="es-ES"/>
              </w:rPr>
              <w:t>.</w:t>
            </w:r>
          </w:p>
        </w:tc>
        <w:tc>
          <w:tcPr>
            <w:tcW w:w="2500" w:type="pct"/>
            <w:shd w:val="clear" w:color="auto" w:fill="auto"/>
          </w:tcPr>
          <w:p w14:paraId="3962C839" w14:textId="77777777" w:rsidR="000D089E" w:rsidRPr="00901F23" w:rsidRDefault="000D089E" w:rsidP="000D089E">
            <w:pPr>
              <w:pStyle w:val="AODocTxt"/>
              <w:numPr>
                <w:ilvl w:val="0"/>
                <w:numId w:val="39"/>
              </w:numPr>
              <w:ind w:hanging="720"/>
            </w:pPr>
            <w:r w:rsidRPr="0024367D">
              <w:t xml:space="preserve">That, </w:t>
            </w:r>
            <w:r w:rsidRPr="00C03A0A">
              <w:t>on 15 June 2019</w:t>
            </w:r>
            <w:r w:rsidRPr="0024367D">
              <w:t xml:space="preserve">, </w:t>
            </w:r>
            <w:r w:rsidRPr="00647C7A">
              <w:t xml:space="preserve">an English law </w:t>
            </w:r>
            <w:r>
              <w:t xml:space="preserve">institutional </w:t>
            </w:r>
            <w:r w:rsidRPr="00647C7A">
              <w:t xml:space="preserve">facilities agreement for a </w:t>
            </w:r>
            <w:r w:rsidRPr="00901F23">
              <w:t xml:space="preserve">maximum </w:t>
            </w:r>
            <w:r>
              <w:rPr>
                <w:lang w:eastAsia="en-GB" w:bidi="en-GB"/>
              </w:rPr>
              <w:t>aggregate</w:t>
            </w:r>
            <w:r w:rsidRPr="00647C7A">
              <w:rPr>
                <w:lang w:eastAsia="en-GB" w:bidi="en-GB"/>
              </w:rPr>
              <w:t xml:space="preserve"> amount</w:t>
            </w:r>
            <w:r w:rsidRPr="00901F23">
              <w:t xml:space="preserve"> of </w:t>
            </w:r>
            <w:r w:rsidRPr="00416E19">
              <w:t>€</w:t>
            </w:r>
            <w:r w:rsidRPr="003E70F8">
              <w:t>36</w:t>
            </w:r>
            <w:r>
              <w:t>,220,</w:t>
            </w:r>
            <w:r w:rsidRPr="003E70F8">
              <w:t>375</w:t>
            </w:r>
            <w:r>
              <w:t xml:space="preserve"> was</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the Issuer</w:t>
            </w:r>
            <w:r w:rsidRPr="00901F23">
              <w:t xml:space="preserve">, </w:t>
            </w:r>
            <w:r>
              <w:t>the</w:t>
            </w:r>
            <w:r w:rsidRPr="00901F23">
              <w:t xml:space="preserve"> </w:t>
            </w:r>
            <w:r>
              <w:t>Original</w:t>
            </w:r>
            <w:r w:rsidRPr="004C3300">
              <w:t xml:space="preserve"> </w:t>
            </w:r>
            <w:r>
              <w:t>I</w:t>
            </w:r>
            <w:r w:rsidRPr="004C3300">
              <w:t>FA Lenders</w:t>
            </w:r>
            <w:r w:rsidRPr="00901F23">
              <w:t xml:space="preserve">, </w:t>
            </w:r>
            <w:r>
              <w:t>the I</w:t>
            </w:r>
            <w:r w:rsidRPr="00906AC2">
              <w:t>FA Agent</w:t>
            </w:r>
            <w:r w:rsidRPr="00F30FFD">
              <w:t xml:space="preserve"> </w:t>
            </w:r>
            <w:r w:rsidRPr="00901F23">
              <w:t xml:space="preserve">and </w:t>
            </w:r>
            <w:r>
              <w:t xml:space="preserve">Beacon Rail Leasing </w:t>
            </w:r>
            <w:proofErr w:type="spellStart"/>
            <w:r>
              <w:t>S.à</w:t>
            </w:r>
            <w:proofErr w:type="spellEnd"/>
            <w:r>
              <w:t xml:space="preserve"> </w:t>
            </w:r>
            <w:proofErr w:type="spellStart"/>
            <w:r>
              <w:t>r.l</w:t>
            </w:r>
            <w:proofErr w:type="spellEnd"/>
            <w:r>
              <w:t xml:space="preserve">. as </w:t>
            </w:r>
            <w:r w:rsidRPr="00901F23">
              <w:t xml:space="preserve">Security </w:t>
            </w:r>
            <w:r>
              <w:t xml:space="preserve">Group </w:t>
            </w:r>
            <w:r w:rsidRPr="00901F23">
              <w:t>Agent</w:t>
            </w:r>
            <w:r>
              <w:t>. H</w:t>
            </w:r>
            <w:r w:rsidRPr="00901F23">
              <w:t xml:space="preserve">ereinafter, the </w:t>
            </w:r>
            <w:r>
              <w:t xml:space="preserve">institutional </w:t>
            </w:r>
            <w:r w:rsidRPr="00647C7A">
              <w:t>facilities agreement</w:t>
            </w:r>
            <w:r w:rsidRPr="00901F23">
              <w:t xml:space="preserve">, as it may be amended, extended, ratified and/or </w:t>
            </w:r>
            <w:r>
              <w:t xml:space="preserve">supplemented from time to time, </w:t>
            </w:r>
            <w:r w:rsidRPr="00901F23">
              <w:t xml:space="preserve">shall be referred to as </w:t>
            </w:r>
            <w:r w:rsidRPr="000A7D7B">
              <w:t xml:space="preserve">the </w:t>
            </w:r>
            <w:r w:rsidRPr="000A7D7B">
              <w:rPr>
                <w:b/>
              </w:rPr>
              <w:t>Institutional Facility Agreement</w:t>
            </w:r>
            <w:r w:rsidRPr="00647C7A">
              <w:t xml:space="preserve"> or the</w:t>
            </w:r>
            <w:r w:rsidRPr="00901F23">
              <w:t xml:space="preserve"> </w:t>
            </w:r>
            <w:r>
              <w:rPr>
                <w:b/>
              </w:rPr>
              <w:t>IFA</w:t>
            </w:r>
            <w:r w:rsidRPr="00901F23">
              <w:t>.</w:t>
            </w:r>
          </w:p>
        </w:tc>
      </w:tr>
      <w:tr w:rsidR="000D089E" w:rsidRPr="0024367D" w14:paraId="3E38DD8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F97CF54" w14:textId="77777777" w:rsidR="000D089E" w:rsidRPr="0024367D" w:rsidRDefault="000D089E" w:rsidP="000D089E">
            <w:pPr>
              <w:pStyle w:val="AODocTxtL1"/>
              <w:rPr>
                <w:lang w:val="es-ES"/>
              </w:rPr>
            </w:pPr>
            <w:r w:rsidRPr="00E53971">
              <w:rPr>
                <w:lang w:val="es-ES"/>
              </w:rPr>
              <w:t xml:space="preserve">El </w:t>
            </w:r>
            <w:r w:rsidRPr="00AA4749">
              <w:rPr>
                <w:lang w:val="es-ES"/>
              </w:rPr>
              <w:t>Contrato de Financiación Institucional</w:t>
            </w:r>
            <w:r w:rsidRPr="00E53971">
              <w:rPr>
                <w:lang w:val="es-ES"/>
              </w:rPr>
              <w:t xml:space="preserve"> </w:t>
            </w:r>
            <w:r>
              <w:rPr>
                <w:lang w:val="es-ES"/>
              </w:rPr>
              <w:t>fue</w:t>
            </w:r>
            <w:r w:rsidRPr="00E53971">
              <w:rPr>
                <w:lang w:val="es-ES"/>
              </w:rPr>
              <w:t xml:space="preserve"> elevado a público e</w:t>
            </w:r>
            <w:r>
              <w:rPr>
                <w:lang w:val="es-ES"/>
              </w:rPr>
              <w:t xml:space="preserv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 xml:space="preserve">de Madrid, D. Antonio Luis Reina Gutiérrez. </w:t>
            </w:r>
          </w:p>
        </w:tc>
        <w:tc>
          <w:tcPr>
            <w:tcW w:w="2500" w:type="pct"/>
            <w:shd w:val="clear" w:color="auto" w:fill="auto"/>
          </w:tcPr>
          <w:p w14:paraId="0DF9AB9A" w14:textId="77777777" w:rsidR="000D089E" w:rsidRPr="0024367D" w:rsidRDefault="000D089E" w:rsidP="000D089E">
            <w:pPr>
              <w:pStyle w:val="AODocTxtL1"/>
            </w:pPr>
            <w:r>
              <w:t xml:space="preserve">The </w:t>
            </w:r>
            <w:r w:rsidRPr="0039658A">
              <w:t xml:space="preserve">Institutional </w:t>
            </w:r>
            <w:r>
              <w:t>Facility</w:t>
            </w:r>
            <w:r w:rsidRPr="0039658A">
              <w:t xml:space="preserve"> Agreement</w:t>
            </w:r>
            <w:r>
              <w:t xml:space="preserve"> was</w:t>
            </w:r>
            <w:r w:rsidRPr="00901F23">
              <w:t xml:space="preserve"> raised to the status of public document</w:t>
            </w:r>
            <w:r>
              <w:t xml:space="preserve"> on</w:t>
            </w:r>
            <w:r w:rsidRPr="00901F23">
              <w:t xml:space="preserve"> </w:t>
            </w:r>
            <w:r>
              <w:t xml:space="preserve">22 October 2021 </w:t>
            </w:r>
            <w:r w:rsidRPr="00901F23">
              <w:t>by means of a deed</w:t>
            </w:r>
            <w:r>
              <w:t xml:space="preserve"> intervened by</w:t>
            </w:r>
            <w:r w:rsidRPr="00973006">
              <w:t xml:space="preserve"> the Notary</w:t>
            </w:r>
            <w:r>
              <w:t xml:space="preserve"> of Madrid, Mr.</w:t>
            </w:r>
            <w:r w:rsidRPr="008654C2">
              <w:t xml:space="preserve"> Antonio Luis Reina Gutiérrez</w:t>
            </w:r>
            <w:r>
              <w:t>.</w:t>
            </w:r>
            <w:r w:rsidRPr="00923375">
              <w:rPr>
                <w:b/>
                <w:i/>
              </w:rPr>
              <w:t xml:space="preserve"> </w:t>
            </w:r>
          </w:p>
        </w:tc>
      </w:tr>
      <w:tr w:rsidR="000D089E" w:rsidRPr="00847DF9" w14:paraId="73D8D39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6967E4C" w14:textId="77777777" w:rsidR="000D089E" w:rsidRPr="00113836" w:rsidRDefault="000D089E" w:rsidP="000D089E">
            <w:pPr>
              <w:pStyle w:val="AOA"/>
              <w:rPr>
                <w:lang w:val="es-ES"/>
              </w:rPr>
            </w:pPr>
            <w:r w:rsidRPr="0024367D">
              <w:rPr>
                <w:lang w:val="es-ES"/>
              </w:rPr>
              <w:t>Que</w:t>
            </w:r>
            <w:r>
              <w:rPr>
                <w:lang w:val="es-ES"/>
              </w:rPr>
              <w:t xml:space="preserve"> </w:t>
            </w:r>
            <w:r w:rsidRPr="0024367D">
              <w:rPr>
                <w:lang w:val="es-ES"/>
              </w:rPr>
              <w:t>con fecha 15 de junio de 2019 se</w:t>
            </w:r>
            <w:r>
              <w:rPr>
                <w:lang w:val="es-ES"/>
              </w:rPr>
              <w:t xml:space="preserve"> suscribió</w:t>
            </w:r>
            <w:r w:rsidRPr="0024367D">
              <w:rPr>
                <w:lang w:val="es-ES"/>
              </w:rPr>
              <w:t xml:space="preserve"> un </w:t>
            </w:r>
            <w:r w:rsidRPr="00AE2736">
              <w:rPr>
                <w:lang w:val="es" w:eastAsia="es-ES"/>
              </w:rPr>
              <w:t xml:space="preserve">contrato </w:t>
            </w:r>
            <w:r>
              <w:rPr>
                <w:lang w:val="es" w:eastAsia="es-ES"/>
              </w:rPr>
              <w:t>de compra de instrumentos de deuda PP (</w:t>
            </w:r>
            <w:r>
              <w:rPr>
                <w:i/>
                <w:lang w:val="es-ES"/>
              </w:rPr>
              <w:t xml:space="preserve">PP Debt Note </w:t>
            </w:r>
            <w:proofErr w:type="spellStart"/>
            <w:r>
              <w:rPr>
                <w:i/>
                <w:lang w:val="es-ES"/>
              </w:rPr>
              <w:t>Purchase</w:t>
            </w:r>
            <w:proofErr w:type="spellEnd"/>
            <w:r>
              <w:rPr>
                <w:i/>
                <w:lang w:val="es-ES"/>
              </w:rPr>
              <w:t xml:space="preserve"> </w:t>
            </w:r>
            <w:proofErr w:type="spellStart"/>
            <w:r>
              <w:rPr>
                <w:i/>
                <w:lang w:val="es-ES"/>
              </w:rPr>
              <w:t>Agreement</w:t>
            </w:r>
            <w:proofErr w:type="spellEnd"/>
            <w:r w:rsidRPr="004B5454">
              <w:rPr>
                <w:lang w:val="es-ES"/>
              </w:rPr>
              <w:t>),</w:t>
            </w:r>
            <w:r>
              <w:rPr>
                <w:lang w:val="es-ES"/>
              </w:rPr>
              <w:t xml:space="preserve"> </w:t>
            </w:r>
            <w:r w:rsidRPr="0024367D">
              <w:rPr>
                <w:lang w:val="es-ES"/>
              </w:rPr>
              <w:t>sujeto a ley inglesa,</w:t>
            </w:r>
            <w:r>
              <w:rPr>
                <w:lang w:val="es-ES"/>
              </w:rPr>
              <w:t xml:space="preserve"> por, entre otros, </w:t>
            </w:r>
            <w:r w:rsidRPr="0024367D">
              <w:rPr>
                <w:lang w:val="es-ES"/>
              </w:rPr>
              <w:t xml:space="preserve">Beacon Finco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w:t>
            </w:r>
            <w:r w:rsidRPr="0024367D">
              <w:rPr>
                <w:b/>
                <w:lang w:val="es-ES"/>
              </w:rPr>
              <w:t xml:space="preserve"> </w:t>
            </w:r>
            <w:r w:rsidRPr="0024367D">
              <w:rPr>
                <w:lang w:val="es-ES"/>
              </w:rPr>
              <w:t>como emisor (</w:t>
            </w:r>
            <w:proofErr w:type="spellStart"/>
            <w:r w:rsidRPr="0024367D">
              <w:rPr>
                <w:i/>
                <w:lang w:val="es-ES"/>
              </w:rPr>
              <w:t>Issuer</w:t>
            </w:r>
            <w:proofErr w:type="spellEnd"/>
            <w:r>
              <w:rPr>
                <w:lang w:val="es-ES"/>
              </w:rPr>
              <w:t xml:space="preserve">) y </w:t>
            </w:r>
            <w:r w:rsidRPr="00951498">
              <w:rPr>
                <w:lang w:val="es-ES"/>
              </w:rPr>
              <w:t xml:space="preserve">las Compradoras </w:t>
            </w:r>
            <w:r>
              <w:rPr>
                <w:lang w:val="es-ES"/>
              </w:rPr>
              <w:t>(</w:t>
            </w:r>
            <w:proofErr w:type="spellStart"/>
            <w:r>
              <w:rPr>
                <w:i/>
                <w:lang w:val="es-ES"/>
              </w:rPr>
              <w:t>Purchasers</w:t>
            </w:r>
            <w:proofErr w:type="spellEnd"/>
            <w:r>
              <w:rPr>
                <w:lang w:val="es-ES"/>
              </w:rPr>
              <w:t>)</w:t>
            </w:r>
            <w:r w:rsidRPr="00951498">
              <w:rPr>
                <w:lang w:val="es-ES"/>
              </w:rPr>
              <w:t>,</w:t>
            </w:r>
            <w:r>
              <w:rPr>
                <w:lang w:val="es-ES"/>
              </w:rPr>
              <w:t xml:space="preserve"> en virtud del cual se acordó la emisión de ciertos instrumentos de deuda por importe de GBP 27.000.000 de principal. </w:t>
            </w:r>
            <w:r w:rsidRPr="00E53971">
              <w:rPr>
                <w:lang w:val="es-ES"/>
              </w:rPr>
              <w:t xml:space="preserve">En adelante, el </w:t>
            </w:r>
            <w:r w:rsidRPr="0024367D">
              <w:rPr>
                <w:lang w:val="es-ES"/>
              </w:rPr>
              <w:t xml:space="preserve">contrato de </w:t>
            </w:r>
            <w:r>
              <w:rPr>
                <w:lang w:val="es-ES"/>
              </w:rPr>
              <w:t xml:space="preserve">compra de </w:t>
            </w:r>
            <w:r>
              <w:rPr>
                <w:lang w:val="es" w:eastAsia="es-ES"/>
              </w:rPr>
              <w:t>instrumentos de deuda PP</w:t>
            </w:r>
            <w:r>
              <w:rPr>
                <w:lang w:val="es-ES"/>
              </w:rPr>
              <w:t xml:space="preserve">, junto con cualesquiera documentos que se hubiesen suscrito al amparo </w:t>
            </w:r>
            <w:proofErr w:type="gramStart"/>
            <w:r>
              <w:rPr>
                <w:lang w:val="es-ES"/>
              </w:rPr>
              <w:t>del mismo</w:t>
            </w:r>
            <w:proofErr w:type="gramEnd"/>
            <w:r w:rsidRPr="00E53971">
              <w:rPr>
                <w:lang w:val="es-ES"/>
              </w:rPr>
              <w:t xml:space="preserve">, tal y como </w:t>
            </w:r>
            <w:r>
              <w:rPr>
                <w:lang w:val="es-ES"/>
              </w:rPr>
              <w:lastRenderedPageBreak/>
              <w:t>este</w:t>
            </w:r>
            <w:r w:rsidRPr="00E53971">
              <w:rPr>
                <w:lang w:val="es-ES"/>
              </w:rPr>
              <w:t xml:space="preserve"> sea modificado, extendido, ratificado y/o complementado en cada momento</w:t>
            </w:r>
            <w:r>
              <w:rPr>
                <w:lang w:val="es-ES"/>
              </w:rPr>
              <w:t xml:space="preserve"> y, en particular, tal y como el mismo fue modificado en fecha 24 de junio de 2019</w:t>
            </w:r>
            <w:r w:rsidRPr="00E53971">
              <w:rPr>
                <w:lang w:val="es-ES"/>
              </w:rPr>
              <w:t>, será referido como el</w:t>
            </w:r>
            <w:r>
              <w:rPr>
                <w:lang w:val="es-ES"/>
              </w:rPr>
              <w:t xml:space="preserve"> </w:t>
            </w:r>
            <w:r w:rsidRPr="00AA2DE1">
              <w:rPr>
                <w:b/>
                <w:lang w:val="es-ES"/>
              </w:rPr>
              <w:t xml:space="preserve">Contrato de Compra de </w:t>
            </w:r>
            <w:r>
              <w:rPr>
                <w:b/>
                <w:lang w:val="es-ES"/>
              </w:rPr>
              <w:t>Instrumentos de Deuda</w:t>
            </w:r>
            <w:r>
              <w:rPr>
                <w:i/>
                <w:lang w:val="es-ES"/>
              </w:rPr>
              <w:t xml:space="preserve"> </w:t>
            </w:r>
            <w:r w:rsidRPr="00AA2DE1">
              <w:rPr>
                <w:b/>
                <w:lang w:val="es-ES"/>
              </w:rPr>
              <w:t>PP</w:t>
            </w:r>
            <w:r>
              <w:rPr>
                <w:i/>
                <w:lang w:val="es-ES"/>
              </w:rPr>
              <w:t>.</w:t>
            </w:r>
          </w:p>
        </w:tc>
        <w:tc>
          <w:tcPr>
            <w:tcW w:w="2500" w:type="pct"/>
            <w:shd w:val="clear" w:color="auto" w:fill="auto"/>
          </w:tcPr>
          <w:p w14:paraId="7677FAAE" w14:textId="77777777" w:rsidR="000D089E" w:rsidRPr="00847DF9" w:rsidRDefault="000D089E" w:rsidP="000D089E">
            <w:pPr>
              <w:pStyle w:val="AODocTxt"/>
              <w:numPr>
                <w:ilvl w:val="0"/>
                <w:numId w:val="39"/>
              </w:numPr>
              <w:ind w:hanging="720"/>
            </w:pPr>
            <w:r w:rsidRPr="0024367D">
              <w:lastRenderedPageBreak/>
              <w:t xml:space="preserve">That, </w:t>
            </w:r>
            <w:r w:rsidRPr="00C03A0A">
              <w:t>on 15 June 2019</w:t>
            </w:r>
            <w:r w:rsidRPr="0024367D">
              <w:t xml:space="preserve">, </w:t>
            </w:r>
            <w:r w:rsidRPr="00647C7A">
              <w:t xml:space="preserve">an English law </w:t>
            </w:r>
            <w:r w:rsidRPr="006D6B1B">
              <w:t xml:space="preserve">PP </w:t>
            </w:r>
            <w:r>
              <w:t>debt note purchase agreement</w:t>
            </w:r>
            <w:r w:rsidRPr="00647C7A">
              <w:t xml:space="preserve"> </w:t>
            </w:r>
            <w:r>
              <w:t>was</w:t>
            </w:r>
            <w:r w:rsidRPr="00901F23">
              <w:t xml:space="preserve"> entered into between,</w:t>
            </w:r>
            <w:r>
              <w:t xml:space="preserve"> among others,</w:t>
            </w:r>
            <w:r w:rsidRPr="00901F23">
              <w:t xml:space="preserve"> </w:t>
            </w:r>
            <w:r>
              <w:t xml:space="preserve">Beacon Finco </w:t>
            </w:r>
            <w:proofErr w:type="spellStart"/>
            <w:r>
              <w:t>S.à</w:t>
            </w:r>
            <w:proofErr w:type="spellEnd"/>
            <w:r>
              <w:t xml:space="preserve"> </w:t>
            </w:r>
            <w:proofErr w:type="spellStart"/>
            <w:r>
              <w:t>r.l</w:t>
            </w:r>
            <w:proofErr w:type="spellEnd"/>
            <w:r>
              <w:t xml:space="preserve">. </w:t>
            </w:r>
            <w:r w:rsidRPr="00901F23">
              <w:t xml:space="preserve">as </w:t>
            </w:r>
            <w:r>
              <w:t>the Issuer and</w:t>
            </w:r>
            <w:r w:rsidRPr="00901F23">
              <w:t xml:space="preserve"> </w:t>
            </w:r>
            <w:r>
              <w:t xml:space="preserve">the </w:t>
            </w:r>
            <w:r w:rsidRPr="00951498">
              <w:t>Purchasers</w:t>
            </w:r>
            <w:r w:rsidRPr="00901F23">
              <w:t xml:space="preserve">, </w:t>
            </w:r>
            <w:r>
              <w:t>by means of which it was agreed the issue of certain n</w:t>
            </w:r>
            <w:r w:rsidRPr="006D6B1B">
              <w:t xml:space="preserve">otes </w:t>
            </w:r>
            <w:r>
              <w:t>for</w:t>
            </w:r>
            <w:r w:rsidRPr="006D6B1B">
              <w:t xml:space="preserve"> the principal amount</w:t>
            </w:r>
            <w:r>
              <w:t xml:space="preserve"> of </w:t>
            </w:r>
            <w:r w:rsidRPr="00665592">
              <w:t>GBP 27</w:t>
            </w:r>
            <w:r>
              <w:t>,000,</w:t>
            </w:r>
            <w:r w:rsidRPr="00665592">
              <w:t>000</w:t>
            </w:r>
            <w:r>
              <w:t xml:space="preserve">. Hereinafter, the </w:t>
            </w:r>
            <w:r w:rsidRPr="006D6B1B">
              <w:t>PP Debt Note Purchase Agreement</w:t>
            </w:r>
            <w:r>
              <w:t>. H</w:t>
            </w:r>
            <w:r w:rsidRPr="00901F23">
              <w:t xml:space="preserve">ereinafter, the </w:t>
            </w:r>
            <w:r w:rsidRPr="006D6B1B">
              <w:t xml:space="preserve">PP </w:t>
            </w:r>
            <w:r>
              <w:t>debt note purchase agreement</w:t>
            </w:r>
            <w:r w:rsidRPr="00901F23">
              <w:t xml:space="preserve">, </w:t>
            </w:r>
            <w:r>
              <w:t xml:space="preserve">together with any other documents granted under and pursuant to it, </w:t>
            </w:r>
            <w:r w:rsidRPr="00901F23">
              <w:t xml:space="preserve">as it may be amended, extended, ratified and/or </w:t>
            </w:r>
            <w:r>
              <w:t>supplemented from time to time and</w:t>
            </w:r>
            <w:proofErr w:type="gramStart"/>
            <w:r>
              <w:t>, in particular, as</w:t>
            </w:r>
            <w:proofErr w:type="gramEnd"/>
            <w:r>
              <w:t xml:space="preserve"> it has been </w:t>
            </w:r>
            <w:r w:rsidRPr="00901F23">
              <w:lastRenderedPageBreak/>
              <w:t>amended</w:t>
            </w:r>
            <w:r>
              <w:t xml:space="preserve"> on 24 June 2019, </w:t>
            </w:r>
            <w:r w:rsidRPr="00901F23">
              <w:t xml:space="preserve">shall be referred to as </w:t>
            </w:r>
            <w:r w:rsidRPr="000A7D7B">
              <w:t xml:space="preserve">the </w:t>
            </w:r>
            <w:r w:rsidRPr="00143A3D">
              <w:rPr>
                <w:b/>
              </w:rPr>
              <w:t>PP Debt Note Purchase Agreement</w:t>
            </w:r>
            <w:r w:rsidRPr="00901F23">
              <w:t>.</w:t>
            </w:r>
          </w:p>
        </w:tc>
      </w:tr>
      <w:tr w:rsidR="000D089E" w:rsidRPr="0024367D" w14:paraId="7859402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039C408" w14:textId="77777777" w:rsidR="000D089E" w:rsidRPr="0024367D" w:rsidRDefault="000D089E" w:rsidP="000D089E">
            <w:pPr>
              <w:pStyle w:val="AODocTxtL1"/>
              <w:rPr>
                <w:lang w:val="es-ES"/>
              </w:rPr>
            </w:pPr>
            <w:r w:rsidRPr="00E53971">
              <w:rPr>
                <w:lang w:val="es-ES"/>
              </w:rPr>
              <w:lastRenderedPageBreak/>
              <w:t xml:space="preserve">El </w:t>
            </w:r>
            <w:r w:rsidRPr="00B87EFD">
              <w:rPr>
                <w:lang w:val="es-ES"/>
              </w:rPr>
              <w:t>Contrato de Compra de Instrumentos de Deuda</w:t>
            </w:r>
            <w:r w:rsidRPr="00B87EFD">
              <w:rPr>
                <w:i/>
                <w:lang w:val="es-ES"/>
              </w:rPr>
              <w:t xml:space="preserve"> </w:t>
            </w:r>
            <w:r w:rsidRPr="00B87EFD">
              <w:rPr>
                <w:lang w:val="es-ES"/>
              </w:rPr>
              <w:t>PP</w:t>
            </w:r>
            <w:r w:rsidRPr="00E53971">
              <w:rPr>
                <w:lang w:val="es-ES"/>
              </w:rPr>
              <w:t xml:space="preserve"> </w:t>
            </w:r>
            <w:r>
              <w:rPr>
                <w:lang w:val="es-ES"/>
              </w:rPr>
              <w:t xml:space="preserve">fue elevado a público 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de Madrid, D. Antonio Luis Reina Gutiérrez.</w:t>
            </w:r>
            <w:r w:rsidRPr="00923375">
              <w:rPr>
                <w:b/>
                <w:i/>
                <w:lang w:val="es-ES"/>
              </w:rPr>
              <w:t xml:space="preserve"> </w:t>
            </w:r>
          </w:p>
        </w:tc>
        <w:tc>
          <w:tcPr>
            <w:tcW w:w="2500" w:type="pct"/>
            <w:shd w:val="clear" w:color="auto" w:fill="auto"/>
          </w:tcPr>
          <w:p w14:paraId="23225D12" w14:textId="77777777" w:rsidR="000D089E" w:rsidRPr="0024367D" w:rsidRDefault="000D089E" w:rsidP="000D089E">
            <w:pPr>
              <w:pStyle w:val="AODocTxtL1"/>
            </w:pPr>
            <w:r>
              <w:t xml:space="preserve">The </w:t>
            </w:r>
            <w:r w:rsidRPr="00B87EFD">
              <w:t>PP Debt Note Purchase Agreement</w:t>
            </w:r>
            <w:r w:rsidRPr="00901F23">
              <w:t xml:space="preserve"> </w:t>
            </w:r>
            <w:r>
              <w:t>was</w:t>
            </w:r>
            <w:r w:rsidRPr="00901F23">
              <w:t xml:space="preserve"> raised to the status of public document</w:t>
            </w:r>
            <w:r>
              <w:t xml:space="preserve"> on 22 April 2021</w:t>
            </w:r>
            <w:r w:rsidRPr="00901F23">
              <w:t xml:space="preserve"> by means of a deed</w:t>
            </w:r>
            <w:r>
              <w:t xml:space="preserve"> intervened by</w:t>
            </w:r>
            <w:r w:rsidRPr="00973006">
              <w:t xml:space="preserve"> the Notary</w:t>
            </w:r>
            <w:r>
              <w:t xml:space="preserve"> of Madrid, Mr. </w:t>
            </w:r>
            <w:r w:rsidRPr="008654C2">
              <w:t>Antonio Luis Reina Gutiérrez</w:t>
            </w:r>
            <w:r>
              <w:t>.</w:t>
            </w:r>
            <w:r w:rsidRPr="00923375">
              <w:rPr>
                <w:b/>
                <w:i/>
              </w:rPr>
              <w:t xml:space="preserve"> </w:t>
            </w:r>
          </w:p>
        </w:tc>
      </w:tr>
      <w:tr w:rsidR="000D089E" w:rsidRPr="00901F23" w14:paraId="4038E4F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2FFC083" w14:textId="77777777" w:rsidR="000D089E" w:rsidRPr="00E53971" w:rsidRDefault="000D089E" w:rsidP="000D089E">
            <w:pPr>
              <w:pStyle w:val="AOA"/>
              <w:rPr>
                <w:lang w:val="es-ES"/>
              </w:rPr>
            </w:pPr>
            <w:r>
              <w:rPr>
                <w:lang w:val="es-ES"/>
              </w:rPr>
              <w:t>Que</w:t>
            </w:r>
            <w:r w:rsidRPr="004E53D4">
              <w:rPr>
                <w:lang w:val="es-ES"/>
              </w:rPr>
              <w:t xml:space="preserve"> </w:t>
            </w:r>
            <w:r w:rsidRPr="0024367D">
              <w:rPr>
                <w:lang w:val="es-ES"/>
              </w:rPr>
              <w:t xml:space="preserve">con fecha 15 de junio de 2019 </w:t>
            </w:r>
            <w:r w:rsidRPr="004E53D4">
              <w:rPr>
                <w:lang w:val="es-ES"/>
              </w:rPr>
              <w:t xml:space="preserve">se </w:t>
            </w:r>
            <w:r>
              <w:rPr>
                <w:lang w:val="es-ES"/>
              </w:rPr>
              <w:t>otorgaron</w:t>
            </w:r>
            <w:r w:rsidRPr="004E53D4">
              <w:rPr>
                <w:lang w:val="es-ES"/>
              </w:rPr>
              <w:t xml:space="preserve"> </w:t>
            </w:r>
            <w:r>
              <w:rPr>
                <w:lang w:val="es-ES"/>
              </w:rPr>
              <w:t xml:space="preserve">por parte de Beacon Finco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4E53D4">
              <w:rPr>
                <w:lang w:val="es-ES"/>
              </w:rPr>
              <w:t xml:space="preserve">los siguientes contratos de </w:t>
            </w:r>
            <w:r>
              <w:rPr>
                <w:lang w:val="es-ES"/>
              </w:rPr>
              <w:t xml:space="preserve">cobertura </w:t>
            </w:r>
            <w:r w:rsidRPr="004F0D64">
              <w:rPr>
                <w:lang w:val="es" w:eastAsia="zh-CN"/>
              </w:rPr>
              <w:t xml:space="preserve">(junto con sus anexos y confirmaciones, las cuales pueden incluir las modificaciones que de buena fe se hubieran acordado entre todas las partes correspondientes, tal y como sean modificados en cada momento, los </w:t>
            </w:r>
            <w:r>
              <w:rPr>
                <w:b/>
                <w:lang w:val="es" w:eastAsia="zh-CN"/>
              </w:rPr>
              <w:t>Contratos</w:t>
            </w:r>
            <w:r w:rsidRPr="004F0D64">
              <w:rPr>
                <w:b/>
                <w:lang w:val="es" w:eastAsia="zh-CN"/>
              </w:rPr>
              <w:t xml:space="preserve"> de Cobertura</w:t>
            </w:r>
            <w:r>
              <w:rPr>
                <w:b/>
                <w:lang w:val="es" w:eastAsia="zh-CN"/>
              </w:rPr>
              <w:t xml:space="preserve"> Originales</w:t>
            </w:r>
            <w:r>
              <w:rPr>
                <w:lang w:val="es" w:eastAsia="zh-CN"/>
              </w:rPr>
              <w:t>)</w:t>
            </w:r>
            <w:r>
              <w:rPr>
                <w:lang w:val="es-ES"/>
              </w:rPr>
              <w:t>:</w:t>
            </w:r>
          </w:p>
        </w:tc>
        <w:tc>
          <w:tcPr>
            <w:tcW w:w="2500" w:type="pct"/>
            <w:shd w:val="clear" w:color="auto" w:fill="auto"/>
          </w:tcPr>
          <w:p w14:paraId="7889240C" w14:textId="77777777" w:rsidR="000D089E" w:rsidRPr="00901F23" w:rsidRDefault="000D089E" w:rsidP="000D089E">
            <w:pPr>
              <w:pStyle w:val="AODocTxt"/>
              <w:numPr>
                <w:ilvl w:val="0"/>
                <w:numId w:val="39"/>
              </w:numPr>
              <w:ind w:hanging="720"/>
            </w:pPr>
            <w:r w:rsidRPr="00C66579">
              <w:t xml:space="preserve">That, </w:t>
            </w:r>
            <w:r w:rsidRPr="00901F23">
              <w:t xml:space="preserve">on </w:t>
            </w:r>
            <w:r w:rsidRPr="00E629BD">
              <w:t>15 June 2019</w:t>
            </w:r>
            <w:r>
              <w:t>, t</w:t>
            </w:r>
            <w:r w:rsidRPr="0082559E">
              <w:t>he following hedging agreements were entered into</w:t>
            </w:r>
            <w:r>
              <w:t xml:space="preserve"> by Beacon Finco </w:t>
            </w:r>
            <w:proofErr w:type="spellStart"/>
            <w:r>
              <w:t>S.à</w:t>
            </w:r>
            <w:proofErr w:type="spellEnd"/>
            <w:r>
              <w:t xml:space="preserve"> </w:t>
            </w:r>
            <w:proofErr w:type="spellStart"/>
            <w:r w:rsidRPr="00106520">
              <w:t>r.l</w:t>
            </w:r>
            <w:proofErr w:type="spellEnd"/>
            <w:r w:rsidRPr="00106520">
              <w:t>.</w:t>
            </w:r>
            <w:r w:rsidRPr="005003E7">
              <w:rPr>
                <w:lang w:eastAsia="zh-CN"/>
              </w:rPr>
              <w:t xml:space="preserve"> (jointly with their annexes and confirmations, which may include any amendments agreed in good faith between all the relevant parties as amended from time to time, the </w:t>
            </w:r>
            <w:r w:rsidRPr="00A3264C">
              <w:rPr>
                <w:b/>
                <w:lang w:eastAsia="zh-CN"/>
              </w:rPr>
              <w:t>Original</w:t>
            </w:r>
            <w:r>
              <w:rPr>
                <w:lang w:eastAsia="zh-CN"/>
              </w:rPr>
              <w:t xml:space="preserve"> </w:t>
            </w:r>
            <w:r w:rsidRPr="005003E7">
              <w:rPr>
                <w:b/>
                <w:lang w:eastAsia="zh-CN"/>
              </w:rPr>
              <w:t>Hedging Documents</w:t>
            </w:r>
            <w:r w:rsidRPr="005003E7">
              <w:rPr>
                <w:lang w:eastAsia="zh-CN"/>
              </w:rPr>
              <w:t>):</w:t>
            </w:r>
          </w:p>
        </w:tc>
      </w:tr>
      <w:tr w:rsidR="000D089E" w:rsidRPr="00E629BD" w14:paraId="7C8D6E2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1B55E81" w14:textId="77777777" w:rsidR="000D089E" w:rsidRPr="00D221EA" w:rsidRDefault="000D089E" w:rsidP="000D089E">
            <w:pPr>
              <w:pStyle w:val="AOHead3"/>
              <w:numPr>
                <w:ilvl w:val="2"/>
                <w:numId w:val="25"/>
              </w:numPr>
              <w:rPr>
                <w:lang w:val="es-ES"/>
              </w:rPr>
            </w:pPr>
            <w:r w:rsidRPr="00D221EA">
              <w:rPr>
                <w:lang w:val="es-ES"/>
              </w:rPr>
              <w:t>contrato marco de operaciones financieras suscrito el 15 de junio de 2019 con CIB</w:t>
            </w:r>
            <w:r>
              <w:rPr>
                <w:lang w:val="es-ES"/>
              </w:rPr>
              <w:t xml:space="preserve">C Capital </w:t>
            </w:r>
            <w:proofErr w:type="spellStart"/>
            <w:r>
              <w:rPr>
                <w:lang w:val="es-ES"/>
              </w:rPr>
              <w:t>Markets</w:t>
            </w:r>
            <w:proofErr w:type="spellEnd"/>
            <w:r>
              <w:rPr>
                <w:lang w:val="es-ES"/>
              </w:rPr>
              <w:t xml:space="preserve"> (Europe) S.A.</w:t>
            </w:r>
            <w:r w:rsidRPr="00D221EA">
              <w:rPr>
                <w:lang w:val="es-ES"/>
              </w:rPr>
              <w:t xml:space="preserve"> como entidad de cobertura elaborado según el modelo denominado </w:t>
            </w:r>
            <w:r w:rsidRPr="00D221EA">
              <w:rPr>
                <w:i/>
                <w:lang w:val="es-ES"/>
              </w:rPr>
              <w:t xml:space="preserve">ISDA </w:t>
            </w:r>
            <w:proofErr w:type="gramStart"/>
            <w:r w:rsidRPr="00D221EA">
              <w:rPr>
                <w:i/>
                <w:lang w:val="es-ES"/>
              </w:rPr>
              <w:t>Master</w:t>
            </w:r>
            <w:proofErr w:type="gramEnd"/>
            <w:r w:rsidRPr="00D221EA">
              <w:rPr>
                <w:i/>
                <w:lang w:val="es-ES"/>
              </w:rPr>
              <w:t xml:space="preserve"> </w:t>
            </w:r>
            <w:proofErr w:type="spellStart"/>
            <w:r w:rsidRPr="00D221EA">
              <w:rPr>
                <w:i/>
                <w:lang w:val="es-ES"/>
              </w:rPr>
              <w:t>Agreement</w:t>
            </w:r>
            <w:proofErr w:type="spellEnd"/>
            <w:r w:rsidRPr="00D221EA">
              <w:rPr>
                <w:lang w:val="es-ES"/>
              </w:rPr>
              <w:t xml:space="preserve"> (versión 2002) aprobado por la </w:t>
            </w:r>
            <w:r w:rsidRPr="00D221EA">
              <w:rPr>
                <w:i/>
                <w:lang w:val="es-ES"/>
              </w:rPr>
              <w:t xml:space="preserve">International Swaps and Derivatives </w:t>
            </w:r>
            <w:proofErr w:type="spellStart"/>
            <w:r w:rsidRPr="00D221EA">
              <w:rPr>
                <w:i/>
                <w:lang w:val="es-ES"/>
              </w:rPr>
              <w:t>Association</w:t>
            </w:r>
            <w:proofErr w:type="spellEnd"/>
            <w:r w:rsidRPr="00D221EA">
              <w:rPr>
                <w:lang w:val="es-ES"/>
              </w:rPr>
              <w:t xml:space="preserve"> (ISDA), junto con sus correspondientes anexos (</w:t>
            </w:r>
            <w:proofErr w:type="spellStart"/>
            <w:r w:rsidRPr="00D221EA">
              <w:rPr>
                <w:i/>
                <w:lang w:val="es-ES"/>
              </w:rPr>
              <w:t>Schedule</w:t>
            </w:r>
            <w:r w:rsidRPr="00D221EA">
              <w:rPr>
                <w:lang w:val="es-ES"/>
              </w:rPr>
              <w:t>s</w:t>
            </w:r>
            <w:proofErr w:type="spellEnd"/>
            <w:r w:rsidRPr="00D221EA">
              <w:rPr>
                <w:lang w:val="es-ES"/>
              </w:rPr>
              <w:t>) y su confirmación;</w:t>
            </w:r>
          </w:p>
        </w:tc>
        <w:tc>
          <w:tcPr>
            <w:tcW w:w="2500" w:type="pct"/>
            <w:shd w:val="clear" w:color="auto" w:fill="auto"/>
          </w:tcPr>
          <w:p w14:paraId="05F7553B" w14:textId="77777777" w:rsidR="000D089E" w:rsidRPr="00E629BD" w:rsidRDefault="000D089E" w:rsidP="000D089E">
            <w:pPr>
              <w:pStyle w:val="AOGenNum2List"/>
              <w:numPr>
                <w:ilvl w:val="3"/>
                <w:numId w:val="29"/>
              </w:numPr>
            </w:pPr>
            <w:r w:rsidRPr="00E629BD">
              <w:t xml:space="preserve">a financial transactions framework agreement </w:t>
            </w:r>
            <w:proofErr w:type="gramStart"/>
            <w:r w:rsidRPr="00E629BD">
              <w:t>entered into</w:t>
            </w:r>
            <w:proofErr w:type="gramEnd"/>
            <w:r w:rsidRPr="00E629BD">
              <w:t xml:space="preserve"> on 15 June 2019 with </w:t>
            </w:r>
            <w:r w:rsidRPr="00D221EA">
              <w:t>CIB</w:t>
            </w:r>
            <w:r>
              <w:t>C Capital Markets (Europe) S.A.</w:t>
            </w:r>
            <w:r w:rsidRPr="00D221EA">
              <w:t xml:space="preserve"> </w:t>
            </w:r>
            <w:r>
              <w:t xml:space="preserve">as a hedge counterparty named </w:t>
            </w:r>
            <w:r w:rsidRPr="00E629BD">
              <w:t>ISDA Master Agreement (version 2002) approved by the International Swaps and Derivatives Association (ISDA) and, together with its relevant Schedules and confirmation</w:t>
            </w:r>
            <w:r>
              <w:t>;</w:t>
            </w:r>
          </w:p>
        </w:tc>
      </w:tr>
      <w:tr w:rsidR="000D089E" w:rsidRPr="00E629BD" w14:paraId="013AC53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8C7D76F" w14:textId="77777777" w:rsidR="000D089E" w:rsidRPr="00E629BD" w:rsidRDefault="000D089E" w:rsidP="000D089E">
            <w:pPr>
              <w:pStyle w:val="AOHead3"/>
              <w:numPr>
                <w:ilvl w:val="2"/>
                <w:numId w:val="25"/>
              </w:numPr>
              <w:rPr>
                <w:lang w:val="es-ES"/>
              </w:rPr>
            </w:pPr>
            <w:r w:rsidRPr="00DD447D">
              <w:rPr>
                <w:lang w:val="es-ES"/>
              </w:rPr>
              <w:t xml:space="preserve">contrato marco de operaciones financieras suscrito el 15 de junio de 2019 con </w:t>
            </w:r>
            <w:proofErr w:type="spellStart"/>
            <w:r w:rsidRPr="00DD447D">
              <w:rPr>
                <w:lang w:val="es-ES"/>
              </w:rPr>
              <w:t>Hamburg</w:t>
            </w:r>
            <w:proofErr w:type="spellEnd"/>
            <w:r w:rsidRPr="00DD447D">
              <w:rPr>
                <w:lang w:val="es-ES"/>
              </w:rPr>
              <w:t xml:space="preserve"> Commercial Bank AG como entidad de cob</w:t>
            </w:r>
            <w:r w:rsidRPr="00E629BD">
              <w:rPr>
                <w:lang w:val="es-ES"/>
              </w:rPr>
              <w:t xml:space="preserve">ertura elaborado según el modelo denominado </w:t>
            </w:r>
            <w:r w:rsidRPr="00E629BD">
              <w:rPr>
                <w:i/>
                <w:lang w:val="es-ES"/>
              </w:rPr>
              <w:t xml:space="preserve">ISDA </w:t>
            </w:r>
            <w:proofErr w:type="gramStart"/>
            <w:r w:rsidRPr="00E629BD">
              <w:rPr>
                <w:i/>
                <w:lang w:val="es-ES"/>
              </w:rPr>
              <w:t>Master</w:t>
            </w:r>
            <w:proofErr w:type="gramEnd"/>
            <w:r w:rsidRPr="00E629BD">
              <w:rPr>
                <w:i/>
                <w:lang w:val="es-ES"/>
              </w:rPr>
              <w:t xml:space="preserve"> </w:t>
            </w:r>
            <w:proofErr w:type="spellStart"/>
            <w:r w:rsidRPr="00E629BD">
              <w:rPr>
                <w:i/>
                <w:lang w:val="es-ES"/>
              </w:rPr>
              <w:t>Agreement</w:t>
            </w:r>
            <w:proofErr w:type="spellEnd"/>
            <w:r w:rsidRPr="00E629BD">
              <w:rPr>
                <w:lang w:val="es-ES"/>
              </w:rPr>
              <w:t xml:space="preserve"> (versión 2002) aprobado por la </w:t>
            </w:r>
            <w:r w:rsidRPr="00E629BD">
              <w:rPr>
                <w:i/>
                <w:lang w:val="es-ES"/>
              </w:rPr>
              <w:t xml:space="preserve">International Swaps and Derivatives </w:t>
            </w:r>
            <w:proofErr w:type="spellStart"/>
            <w:r w:rsidRPr="00E629BD">
              <w:rPr>
                <w:i/>
                <w:lang w:val="es-ES"/>
              </w:rPr>
              <w:t>Association</w:t>
            </w:r>
            <w:proofErr w:type="spellEnd"/>
            <w:r w:rsidRPr="00E629BD">
              <w:rPr>
                <w:lang w:val="es-ES"/>
              </w:rPr>
              <w:t xml:space="preserve"> (ISDA), junto con sus correspondientes anexos (</w:t>
            </w:r>
            <w:proofErr w:type="spellStart"/>
            <w:r w:rsidRPr="00E629BD">
              <w:rPr>
                <w:i/>
                <w:lang w:val="es-ES"/>
              </w:rPr>
              <w:t>Schedule</w:t>
            </w:r>
            <w:r w:rsidRPr="00E629BD">
              <w:rPr>
                <w:lang w:val="es-ES"/>
              </w:rPr>
              <w:t>s</w:t>
            </w:r>
            <w:proofErr w:type="spellEnd"/>
            <w:r w:rsidRPr="00E629BD">
              <w:rPr>
                <w:lang w:val="es-ES"/>
              </w:rPr>
              <w:t>) y su confirmación;</w:t>
            </w:r>
          </w:p>
        </w:tc>
        <w:tc>
          <w:tcPr>
            <w:tcW w:w="2500" w:type="pct"/>
            <w:shd w:val="clear" w:color="auto" w:fill="auto"/>
          </w:tcPr>
          <w:p w14:paraId="05A0B48A" w14:textId="77777777" w:rsidR="000D089E" w:rsidRPr="00E629BD" w:rsidRDefault="000D089E" w:rsidP="000D089E">
            <w:pPr>
              <w:pStyle w:val="AOGenNum2List"/>
              <w:numPr>
                <w:ilvl w:val="3"/>
                <w:numId w:val="29"/>
              </w:numPr>
            </w:pPr>
            <w:r w:rsidRPr="00E629BD">
              <w:t xml:space="preserve">a financial transactions framework agreement </w:t>
            </w:r>
            <w:proofErr w:type="gramStart"/>
            <w:r w:rsidRPr="00E629BD">
              <w:t>entered into</w:t>
            </w:r>
            <w:proofErr w:type="gramEnd"/>
            <w:r w:rsidRPr="00E629BD">
              <w:t xml:space="preserve"> on 15 June 2019 with Hamburg Commercial Bank AG as a hedge counterparty named ISDA Master Agreement (version 2002) approved by the International Swaps and Derivatives Association (ISDA) and, together with its relevant Schedules and confirmation</w:t>
            </w:r>
            <w:r>
              <w:t xml:space="preserve">; </w:t>
            </w:r>
          </w:p>
        </w:tc>
      </w:tr>
      <w:tr w:rsidR="000D089E" w:rsidRPr="00E629BD" w14:paraId="65CB721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6AD63FE" w14:textId="77777777" w:rsidR="000D089E" w:rsidRPr="00E629BD" w:rsidRDefault="000D089E" w:rsidP="000D089E">
            <w:pPr>
              <w:pStyle w:val="AOHead3"/>
              <w:numPr>
                <w:ilvl w:val="2"/>
                <w:numId w:val="25"/>
              </w:numPr>
              <w:rPr>
                <w:lang w:val="es-ES"/>
              </w:rPr>
            </w:pPr>
            <w:r w:rsidRPr="00A82C02">
              <w:rPr>
                <w:lang w:val="es-ES"/>
              </w:rPr>
              <w:t xml:space="preserve">contrato marco de operaciones financieras suscrito el 15 de junio de 2019 con MUFG </w:t>
            </w:r>
            <w:proofErr w:type="spellStart"/>
            <w:r w:rsidRPr="00A82C02">
              <w:rPr>
                <w:lang w:val="es-ES"/>
              </w:rPr>
              <w:t>Securities</w:t>
            </w:r>
            <w:proofErr w:type="spellEnd"/>
            <w:r w:rsidRPr="00A82C02">
              <w:rPr>
                <w:lang w:val="es-ES"/>
              </w:rPr>
              <w:t xml:space="preserve"> EMEA PLC como entidad de cober</w:t>
            </w:r>
            <w:r w:rsidRPr="00E629BD">
              <w:rPr>
                <w:lang w:val="es-ES"/>
              </w:rPr>
              <w:t xml:space="preserve">tura elaborado según el modelo </w:t>
            </w:r>
            <w:r w:rsidRPr="00E629BD">
              <w:rPr>
                <w:lang w:val="es-ES"/>
              </w:rPr>
              <w:lastRenderedPageBreak/>
              <w:t xml:space="preserve">denominado </w:t>
            </w:r>
            <w:r w:rsidRPr="00E629BD">
              <w:rPr>
                <w:i/>
                <w:lang w:val="es-ES"/>
              </w:rPr>
              <w:t xml:space="preserve">ISDA </w:t>
            </w:r>
            <w:proofErr w:type="gramStart"/>
            <w:r w:rsidRPr="00E629BD">
              <w:rPr>
                <w:i/>
                <w:lang w:val="es-ES"/>
              </w:rPr>
              <w:t>Master</w:t>
            </w:r>
            <w:proofErr w:type="gramEnd"/>
            <w:r w:rsidRPr="00E629BD">
              <w:rPr>
                <w:i/>
                <w:lang w:val="es-ES"/>
              </w:rPr>
              <w:t xml:space="preserve"> </w:t>
            </w:r>
            <w:proofErr w:type="spellStart"/>
            <w:r w:rsidRPr="00E629BD">
              <w:rPr>
                <w:i/>
                <w:lang w:val="es-ES"/>
              </w:rPr>
              <w:t>Agreement</w:t>
            </w:r>
            <w:proofErr w:type="spellEnd"/>
            <w:r w:rsidRPr="00E629BD">
              <w:rPr>
                <w:lang w:val="es-ES"/>
              </w:rPr>
              <w:t xml:space="preserve"> (versión 2002) aprobado por la </w:t>
            </w:r>
            <w:r w:rsidRPr="00E629BD">
              <w:rPr>
                <w:i/>
                <w:lang w:val="es-ES"/>
              </w:rPr>
              <w:t xml:space="preserve">International Swaps and Derivatives </w:t>
            </w:r>
            <w:proofErr w:type="spellStart"/>
            <w:r w:rsidRPr="00E629BD">
              <w:rPr>
                <w:i/>
                <w:lang w:val="es-ES"/>
              </w:rPr>
              <w:t>Association</w:t>
            </w:r>
            <w:proofErr w:type="spellEnd"/>
            <w:r w:rsidRPr="00E629BD">
              <w:rPr>
                <w:lang w:val="es-ES"/>
              </w:rPr>
              <w:t xml:space="preserve"> (ISDA), junto con sus correspondientes anexos (</w:t>
            </w:r>
            <w:proofErr w:type="spellStart"/>
            <w:r w:rsidRPr="00E629BD">
              <w:rPr>
                <w:i/>
                <w:lang w:val="es-ES"/>
              </w:rPr>
              <w:t>Schedule</w:t>
            </w:r>
            <w:r w:rsidRPr="00E629BD">
              <w:rPr>
                <w:lang w:val="es-ES"/>
              </w:rPr>
              <w:t>s</w:t>
            </w:r>
            <w:proofErr w:type="spellEnd"/>
            <w:r w:rsidRPr="00E629BD">
              <w:rPr>
                <w:lang w:val="es-ES"/>
              </w:rPr>
              <w:t>) y su confirmación;</w:t>
            </w:r>
          </w:p>
        </w:tc>
        <w:tc>
          <w:tcPr>
            <w:tcW w:w="2500" w:type="pct"/>
            <w:shd w:val="clear" w:color="auto" w:fill="auto"/>
          </w:tcPr>
          <w:p w14:paraId="04E1CEE9" w14:textId="77777777" w:rsidR="000D089E" w:rsidRPr="00E629BD" w:rsidRDefault="000D089E" w:rsidP="000D089E">
            <w:pPr>
              <w:pStyle w:val="AOGenNum2List"/>
              <w:numPr>
                <w:ilvl w:val="3"/>
                <w:numId w:val="29"/>
              </w:numPr>
            </w:pPr>
            <w:r w:rsidRPr="00CE3BB9">
              <w:lastRenderedPageBreak/>
              <w:t xml:space="preserve">a financial transactions framework agreement </w:t>
            </w:r>
            <w:proofErr w:type="gramStart"/>
            <w:r w:rsidRPr="00CE3BB9">
              <w:t>entered into</w:t>
            </w:r>
            <w:proofErr w:type="gramEnd"/>
            <w:r w:rsidRPr="00CE3BB9">
              <w:t xml:space="preserve"> on 15 June 2019 with MUFG Securities EMEA PLC as a hedge counterpar</w:t>
            </w:r>
            <w:r w:rsidRPr="00E629BD">
              <w:t xml:space="preserve">ty named ISDA Master Agreement (version </w:t>
            </w:r>
            <w:r w:rsidRPr="00E629BD">
              <w:lastRenderedPageBreak/>
              <w:t>2002) approved by the International Swaps and Derivatives Association (ISDA) and, together with its relevant Schedules and confirmation</w:t>
            </w:r>
            <w:r>
              <w:t>;</w:t>
            </w:r>
          </w:p>
        </w:tc>
      </w:tr>
      <w:tr w:rsidR="000D089E" w:rsidRPr="00E629BD" w14:paraId="165F42B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8E4FE6D" w14:textId="77777777" w:rsidR="000D089E" w:rsidRPr="00E629BD" w:rsidRDefault="000D089E" w:rsidP="000D089E">
            <w:pPr>
              <w:pStyle w:val="AOHead3"/>
              <w:numPr>
                <w:ilvl w:val="2"/>
                <w:numId w:val="25"/>
              </w:numPr>
              <w:rPr>
                <w:lang w:val="es-ES"/>
              </w:rPr>
            </w:pPr>
            <w:r w:rsidRPr="00E629BD">
              <w:rPr>
                <w:lang w:val="es-ES"/>
              </w:rPr>
              <w:lastRenderedPageBreak/>
              <w:t xml:space="preserve">contrato marco de operaciones financieras suscrito el 15 de junio de 2019 con </w:t>
            </w:r>
            <w:r>
              <w:rPr>
                <w:lang w:val="es-ES"/>
              </w:rPr>
              <w:t>ING</w:t>
            </w:r>
            <w:r w:rsidRPr="0024367D">
              <w:rPr>
                <w:lang w:val="es-ES"/>
              </w:rPr>
              <w:t xml:space="preserve"> Bank </w:t>
            </w:r>
            <w:r>
              <w:rPr>
                <w:lang w:val="es-ES"/>
              </w:rPr>
              <w:t>N.V.</w:t>
            </w:r>
            <w:r w:rsidRPr="00E629BD">
              <w:rPr>
                <w:lang w:val="es-ES"/>
              </w:rPr>
              <w:t xml:space="preserve"> como entidad de cobertura elaborado según el modelo denominado </w:t>
            </w:r>
            <w:r w:rsidRPr="00E629BD">
              <w:rPr>
                <w:i/>
                <w:lang w:val="es-ES"/>
              </w:rPr>
              <w:t xml:space="preserve">ISDA </w:t>
            </w:r>
            <w:proofErr w:type="gramStart"/>
            <w:r w:rsidRPr="00E629BD">
              <w:rPr>
                <w:i/>
                <w:lang w:val="es-ES"/>
              </w:rPr>
              <w:t>Master</w:t>
            </w:r>
            <w:proofErr w:type="gramEnd"/>
            <w:r w:rsidRPr="00E629BD">
              <w:rPr>
                <w:i/>
                <w:lang w:val="es-ES"/>
              </w:rPr>
              <w:t xml:space="preserve"> </w:t>
            </w:r>
            <w:proofErr w:type="spellStart"/>
            <w:r w:rsidRPr="00E629BD">
              <w:rPr>
                <w:i/>
                <w:lang w:val="es-ES"/>
              </w:rPr>
              <w:t>Agreement</w:t>
            </w:r>
            <w:proofErr w:type="spellEnd"/>
            <w:r w:rsidRPr="00E629BD">
              <w:rPr>
                <w:lang w:val="es-ES"/>
              </w:rPr>
              <w:t xml:space="preserve"> (versión 2002) aprobado por la </w:t>
            </w:r>
            <w:r w:rsidRPr="00E629BD">
              <w:rPr>
                <w:i/>
                <w:lang w:val="es-ES"/>
              </w:rPr>
              <w:t xml:space="preserve">International Swaps and Derivatives </w:t>
            </w:r>
            <w:proofErr w:type="spellStart"/>
            <w:r w:rsidRPr="00E629BD">
              <w:rPr>
                <w:i/>
                <w:lang w:val="es-ES"/>
              </w:rPr>
              <w:t>Association</w:t>
            </w:r>
            <w:proofErr w:type="spellEnd"/>
            <w:r w:rsidRPr="00E629BD">
              <w:rPr>
                <w:lang w:val="es-ES"/>
              </w:rPr>
              <w:t xml:space="preserve"> (ISDA), junto con sus correspondientes anexos (</w:t>
            </w:r>
            <w:proofErr w:type="spellStart"/>
            <w:r w:rsidRPr="00E629BD">
              <w:rPr>
                <w:i/>
                <w:lang w:val="es-ES"/>
              </w:rPr>
              <w:t>Schedule</w:t>
            </w:r>
            <w:r w:rsidRPr="00E629BD">
              <w:rPr>
                <w:lang w:val="es-ES"/>
              </w:rPr>
              <w:t>s</w:t>
            </w:r>
            <w:proofErr w:type="spellEnd"/>
            <w:r w:rsidRPr="00E629BD">
              <w:rPr>
                <w:lang w:val="es-ES"/>
              </w:rPr>
              <w:t>) y su confirmación;</w:t>
            </w:r>
          </w:p>
        </w:tc>
        <w:tc>
          <w:tcPr>
            <w:tcW w:w="2500" w:type="pct"/>
            <w:shd w:val="clear" w:color="auto" w:fill="auto"/>
          </w:tcPr>
          <w:p w14:paraId="1401712B" w14:textId="77777777" w:rsidR="000D089E" w:rsidRPr="00E629BD" w:rsidRDefault="000D089E" w:rsidP="000D089E">
            <w:pPr>
              <w:pStyle w:val="AOGenNum2List"/>
              <w:numPr>
                <w:ilvl w:val="3"/>
                <w:numId w:val="29"/>
              </w:numPr>
            </w:pPr>
            <w:r w:rsidRPr="008065E7">
              <w:t xml:space="preserve">a financial transactions framework agreement </w:t>
            </w:r>
            <w:proofErr w:type="gramStart"/>
            <w:r w:rsidRPr="008065E7">
              <w:t>entered into</w:t>
            </w:r>
            <w:proofErr w:type="gramEnd"/>
            <w:r w:rsidRPr="008065E7">
              <w:t xml:space="preserve"> on 15 June 2019 with ING Bank N.V. as a hedge counterparty named ISDA </w:t>
            </w:r>
            <w:r w:rsidRPr="00E629BD">
              <w:t>Master Agreement (version 2002) approved by the International Swaps and Derivatives Association (ISDA) and, together with its relevant Schedules and confirmation</w:t>
            </w:r>
            <w:r>
              <w:t>;</w:t>
            </w:r>
          </w:p>
        </w:tc>
      </w:tr>
      <w:tr w:rsidR="000D089E" w:rsidRPr="00E629BD" w14:paraId="77F54B1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F8FDE0B" w14:textId="77777777" w:rsidR="000D089E" w:rsidRPr="00E629BD" w:rsidRDefault="000D089E" w:rsidP="000D089E">
            <w:pPr>
              <w:pStyle w:val="AOHead3"/>
              <w:numPr>
                <w:ilvl w:val="2"/>
                <w:numId w:val="25"/>
              </w:numPr>
              <w:rPr>
                <w:lang w:val="es-ES"/>
              </w:rPr>
            </w:pPr>
            <w:r w:rsidRPr="00E629BD">
              <w:rPr>
                <w:lang w:val="es-ES"/>
              </w:rPr>
              <w:t xml:space="preserve">contrato marco de operaciones financieras suscrito el 15 de junio de 2019 con </w:t>
            </w:r>
            <w:r w:rsidRPr="0024367D">
              <w:rPr>
                <w:lang w:val="es-ES"/>
              </w:rPr>
              <w:t xml:space="preserve">Sumitomo Mitsui </w:t>
            </w:r>
            <w:proofErr w:type="spellStart"/>
            <w:r w:rsidRPr="0024367D">
              <w:rPr>
                <w:lang w:val="es-ES"/>
              </w:rPr>
              <w:t>Banking</w:t>
            </w:r>
            <w:proofErr w:type="spellEnd"/>
            <w:r w:rsidRPr="0024367D">
              <w:rPr>
                <w:lang w:val="es-ES"/>
              </w:rPr>
              <w:t xml:space="preserve"> </w:t>
            </w:r>
            <w:proofErr w:type="spellStart"/>
            <w:r w:rsidRPr="0024367D">
              <w:rPr>
                <w:lang w:val="es-ES"/>
              </w:rPr>
              <w:t>Corporation</w:t>
            </w:r>
            <w:proofErr w:type="spellEnd"/>
            <w:r>
              <w:rPr>
                <w:lang w:val="es-ES"/>
              </w:rPr>
              <w:t xml:space="preserve">, </w:t>
            </w:r>
            <w:proofErr w:type="spellStart"/>
            <w:r>
              <w:rPr>
                <w:lang w:val="es-ES"/>
              </w:rPr>
              <w:t>Brussels</w:t>
            </w:r>
            <w:proofErr w:type="spellEnd"/>
            <w:r>
              <w:rPr>
                <w:lang w:val="es-ES"/>
              </w:rPr>
              <w:t xml:space="preserve"> Branch</w:t>
            </w:r>
            <w:r w:rsidRPr="00E629BD">
              <w:rPr>
                <w:lang w:val="es-ES"/>
              </w:rPr>
              <w:t xml:space="preserve"> como entidad de cobertura elaborado según el modelo denominado </w:t>
            </w:r>
            <w:r w:rsidRPr="00E629BD">
              <w:rPr>
                <w:i/>
                <w:lang w:val="es-ES"/>
              </w:rPr>
              <w:t xml:space="preserve">ISDA </w:t>
            </w:r>
            <w:proofErr w:type="gramStart"/>
            <w:r w:rsidRPr="00E629BD">
              <w:rPr>
                <w:i/>
                <w:lang w:val="es-ES"/>
              </w:rPr>
              <w:t>Master</w:t>
            </w:r>
            <w:proofErr w:type="gramEnd"/>
            <w:r w:rsidRPr="00E629BD">
              <w:rPr>
                <w:i/>
                <w:lang w:val="es-ES"/>
              </w:rPr>
              <w:t xml:space="preserve"> </w:t>
            </w:r>
            <w:proofErr w:type="spellStart"/>
            <w:r w:rsidRPr="00E629BD">
              <w:rPr>
                <w:i/>
                <w:lang w:val="es-ES"/>
              </w:rPr>
              <w:t>Agreement</w:t>
            </w:r>
            <w:proofErr w:type="spellEnd"/>
            <w:r w:rsidRPr="00E629BD">
              <w:rPr>
                <w:lang w:val="es-ES"/>
              </w:rPr>
              <w:t xml:space="preserve"> (versión 2002) aprobado por la </w:t>
            </w:r>
            <w:r w:rsidRPr="00E629BD">
              <w:rPr>
                <w:i/>
                <w:lang w:val="es-ES"/>
              </w:rPr>
              <w:t xml:space="preserve">International Swaps and Derivatives </w:t>
            </w:r>
            <w:proofErr w:type="spellStart"/>
            <w:r w:rsidRPr="001277C5">
              <w:rPr>
                <w:lang w:val="es-ES"/>
              </w:rPr>
              <w:t>Association</w:t>
            </w:r>
            <w:proofErr w:type="spellEnd"/>
            <w:r w:rsidRPr="00E629BD">
              <w:rPr>
                <w:lang w:val="es-ES"/>
              </w:rPr>
              <w:t xml:space="preserve"> (ISDA), junto con sus correspondientes anexos (</w:t>
            </w:r>
            <w:proofErr w:type="spellStart"/>
            <w:r w:rsidRPr="00E629BD">
              <w:rPr>
                <w:i/>
                <w:lang w:val="es-ES"/>
              </w:rPr>
              <w:t>Schedule</w:t>
            </w:r>
            <w:r w:rsidRPr="00E629BD">
              <w:rPr>
                <w:lang w:val="es-ES"/>
              </w:rPr>
              <w:t>s</w:t>
            </w:r>
            <w:proofErr w:type="spellEnd"/>
            <w:r w:rsidRPr="00E629BD">
              <w:rPr>
                <w:lang w:val="es-ES"/>
              </w:rPr>
              <w:t>) y su confirmación;</w:t>
            </w:r>
          </w:p>
        </w:tc>
        <w:tc>
          <w:tcPr>
            <w:tcW w:w="2500" w:type="pct"/>
            <w:shd w:val="clear" w:color="auto" w:fill="auto"/>
          </w:tcPr>
          <w:p w14:paraId="2D462B3B" w14:textId="77777777" w:rsidR="000D089E" w:rsidRPr="00E629BD" w:rsidRDefault="000D089E" w:rsidP="000D089E">
            <w:pPr>
              <w:pStyle w:val="AOGenNum2List"/>
              <w:numPr>
                <w:ilvl w:val="3"/>
                <w:numId w:val="29"/>
              </w:numPr>
            </w:pPr>
            <w:r w:rsidRPr="00BF1D73">
              <w:t xml:space="preserve">a financial transactions framework agreement </w:t>
            </w:r>
            <w:proofErr w:type="gramStart"/>
            <w:r w:rsidRPr="00BF1D73">
              <w:t>entered into</w:t>
            </w:r>
            <w:proofErr w:type="gramEnd"/>
            <w:r w:rsidRPr="00BF1D73">
              <w:t xml:space="preserve"> on 15 June 2019 with Sumitomo Mitsui Banking Corporation, Brussels </w:t>
            </w:r>
            <w:r w:rsidRPr="009C21E8">
              <w:t>Branch</w:t>
            </w:r>
            <w:r w:rsidRPr="00E629BD">
              <w:t xml:space="preserve"> as a hedge counterparty named ISDA Master Agreement (version 2002) approved by the International Swaps and Derivatives Association (ISDA) and, together with its relevant Schedules and confirmation</w:t>
            </w:r>
            <w:r>
              <w:t xml:space="preserve">; </w:t>
            </w:r>
          </w:p>
        </w:tc>
      </w:tr>
      <w:tr w:rsidR="000D089E" w:rsidRPr="00E629BD" w14:paraId="62D1BED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84F0807" w14:textId="77777777" w:rsidR="000D089E" w:rsidRPr="00E629BD" w:rsidRDefault="000D089E" w:rsidP="000D089E">
            <w:pPr>
              <w:pStyle w:val="AOHead3"/>
              <w:numPr>
                <w:ilvl w:val="2"/>
                <w:numId w:val="25"/>
              </w:numPr>
              <w:rPr>
                <w:lang w:val="es-ES"/>
              </w:rPr>
            </w:pPr>
            <w:r w:rsidRPr="00E629BD">
              <w:rPr>
                <w:lang w:val="es-ES"/>
              </w:rPr>
              <w:t xml:space="preserve">contrato marco de operaciones financieras suscrito el 15 de junio de 2019 con </w:t>
            </w:r>
            <w:r>
              <w:rPr>
                <w:lang w:val="es-ES"/>
              </w:rPr>
              <w:t>Banco Santander, S.A.</w:t>
            </w:r>
            <w:r w:rsidRPr="00E629BD">
              <w:rPr>
                <w:lang w:val="es-ES"/>
              </w:rPr>
              <w:t xml:space="preserve"> como entidad de cobertura elaborado según el modelo denominado </w:t>
            </w:r>
            <w:r w:rsidRPr="00E629BD">
              <w:rPr>
                <w:i/>
                <w:lang w:val="es-ES"/>
              </w:rPr>
              <w:t xml:space="preserve">ISDA </w:t>
            </w:r>
            <w:proofErr w:type="gramStart"/>
            <w:r w:rsidRPr="00E629BD">
              <w:rPr>
                <w:i/>
                <w:lang w:val="es-ES"/>
              </w:rPr>
              <w:t>Master</w:t>
            </w:r>
            <w:proofErr w:type="gramEnd"/>
            <w:r w:rsidRPr="00E629BD">
              <w:rPr>
                <w:i/>
                <w:lang w:val="es-ES"/>
              </w:rPr>
              <w:t xml:space="preserve"> </w:t>
            </w:r>
            <w:proofErr w:type="spellStart"/>
            <w:r w:rsidRPr="00E629BD">
              <w:rPr>
                <w:i/>
                <w:lang w:val="es-ES"/>
              </w:rPr>
              <w:t>Agreement</w:t>
            </w:r>
            <w:proofErr w:type="spellEnd"/>
            <w:r w:rsidRPr="00E629BD">
              <w:rPr>
                <w:lang w:val="es-ES"/>
              </w:rPr>
              <w:t xml:space="preserve"> (versión 2002) aprobado por la </w:t>
            </w:r>
            <w:r w:rsidRPr="00E629BD">
              <w:rPr>
                <w:i/>
                <w:lang w:val="es-ES"/>
              </w:rPr>
              <w:t xml:space="preserve">International Swaps and Derivatives </w:t>
            </w:r>
            <w:proofErr w:type="spellStart"/>
            <w:r w:rsidRPr="00E629BD">
              <w:rPr>
                <w:i/>
                <w:lang w:val="es-ES"/>
              </w:rPr>
              <w:t>Association</w:t>
            </w:r>
            <w:proofErr w:type="spellEnd"/>
            <w:r w:rsidRPr="00E629BD">
              <w:rPr>
                <w:lang w:val="es-ES"/>
              </w:rPr>
              <w:t xml:space="preserve"> (ISDA), junto con sus correspondientes anexos (</w:t>
            </w:r>
            <w:proofErr w:type="spellStart"/>
            <w:r w:rsidRPr="00E629BD">
              <w:rPr>
                <w:i/>
                <w:lang w:val="es-ES"/>
              </w:rPr>
              <w:t>Schedule</w:t>
            </w:r>
            <w:r w:rsidRPr="00E629BD">
              <w:rPr>
                <w:lang w:val="es-ES"/>
              </w:rPr>
              <w:t>s</w:t>
            </w:r>
            <w:proofErr w:type="spellEnd"/>
            <w:r w:rsidRPr="00E629BD">
              <w:rPr>
                <w:lang w:val="es-ES"/>
              </w:rPr>
              <w:t>) y su confirmación;</w:t>
            </w:r>
            <w:r>
              <w:rPr>
                <w:lang w:val="es-ES"/>
              </w:rPr>
              <w:t xml:space="preserve"> y</w:t>
            </w:r>
          </w:p>
        </w:tc>
        <w:tc>
          <w:tcPr>
            <w:tcW w:w="2500" w:type="pct"/>
            <w:shd w:val="clear" w:color="auto" w:fill="auto"/>
          </w:tcPr>
          <w:p w14:paraId="2AF3B775" w14:textId="77777777" w:rsidR="000D089E" w:rsidRPr="00E629BD" w:rsidRDefault="000D089E" w:rsidP="000D089E">
            <w:pPr>
              <w:pStyle w:val="AOGenNum2List"/>
              <w:numPr>
                <w:ilvl w:val="3"/>
                <w:numId w:val="29"/>
              </w:numPr>
            </w:pPr>
            <w:r w:rsidRPr="00E629BD">
              <w:t xml:space="preserve">a financial transactions framework agreement </w:t>
            </w:r>
            <w:proofErr w:type="gramStart"/>
            <w:r w:rsidRPr="00E629BD">
              <w:t>entered into</w:t>
            </w:r>
            <w:proofErr w:type="gramEnd"/>
            <w:r w:rsidRPr="00E629BD">
              <w:t xml:space="preserve"> on 15 June 2019 with </w:t>
            </w:r>
            <w:r>
              <w:t>Banco Santander, S.A.</w:t>
            </w:r>
            <w:r w:rsidRPr="00E629BD">
              <w:t xml:space="preserve"> as a hedge counterparty named ISDA Master Agreement (version 2002) approved by the International Swaps and Derivatives Association (ISDA) and, together with its relevant Schedules and confirmation; and</w:t>
            </w:r>
          </w:p>
        </w:tc>
      </w:tr>
      <w:tr w:rsidR="000D089E" w:rsidRPr="00E629BD" w14:paraId="0A67CBC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3935F47" w14:textId="77777777" w:rsidR="000D089E" w:rsidRPr="00E629BD" w:rsidRDefault="000D089E" w:rsidP="000D089E">
            <w:pPr>
              <w:pStyle w:val="AOHead3"/>
              <w:numPr>
                <w:ilvl w:val="2"/>
                <w:numId w:val="25"/>
              </w:numPr>
              <w:rPr>
                <w:lang w:val="es-ES"/>
              </w:rPr>
            </w:pPr>
            <w:r w:rsidRPr="00E629BD">
              <w:rPr>
                <w:lang w:val="es-ES"/>
              </w:rPr>
              <w:t xml:space="preserve">contrato </w:t>
            </w:r>
            <w:r>
              <w:rPr>
                <w:lang w:val="es-ES"/>
              </w:rPr>
              <w:t xml:space="preserve">de novación de contrato </w:t>
            </w:r>
            <w:r w:rsidRPr="00E629BD">
              <w:rPr>
                <w:lang w:val="es-ES"/>
              </w:rPr>
              <w:t>marco de operaciones financieras</w:t>
            </w:r>
            <w:r>
              <w:rPr>
                <w:lang w:val="es-ES"/>
              </w:rPr>
              <w:t xml:space="preserve"> de fecha 13 de noviembre de 2015 (tal y como el mismo fue modificado en fecha 10 de abril de 2017)</w:t>
            </w:r>
            <w:r w:rsidRPr="00E629BD">
              <w:rPr>
                <w:lang w:val="es-ES"/>
              </w:rPr>
              <w:t xml:space="preserve"> suscrito el 15 de junio de 2019 con </w:t>
            </w:r>
            <w:r>
              <w:rPr>
                <w:lang w:val="es-ES"/>
              </w:rPr>
              <w:t>Barclays Bank PLC</w:t>
            </w:r>
            <w:r w:rsidRPr="00E629BD">
              <w:rPr>
                <w:lang w:val="es-ES"/>
              </w:rPr>
              <w:t xml:space="preserve"> como entidad de </w:t>
            </w:r>
            <w:r w:rsidRPr="00E629BD">
              <w:rPr>
                <w:lang w:val="es-ES"/>
              </w:rPr>
              <w:lastRenderedPageBreak/>
              <w:t xml:space="preserve">cobertura elaborado según el modelo denominado </w:t>
            </w:r>
            <w:r w:rsidRPr="00E629BD">
              <w:rPr>
                <w:i/>
                <w:lang w:val="es-ES"/>
              </w:rPr>
              <w:t xml:space="preserve">ISDA </w:t>
            </w:r>
            <w:proofErr w:type="gramStart"/>
            <w:r w:rsidRPr="00E629BD">
              <w:rPr>
                <w:i/>
                <w:lang w:val="es-ES"/>
              </w:rPr>
              <w:t>Master</w:t>
            </w:r>
            <w:proofErr w:type="gramEnd"/>
            <w:r w:rsidRPr="00E629BD">
              <w:rPr>
                <w:i/>
                <w:lang w:val="es-ES"/>
              </w:rPr>
              <w:t xml:space="preserve"> </w:t>
            </w:r>
            <w:proofErr w:type="spellStart"/>
            <w:r w:rsidRPr="00E629BD">
              <w:rPr>
                <w:i/>
                <w:lang w:val="es-ES"/>
              </w:rPr>
              <w:t>Agreement</w:t>
            </w:r>
            <w:proofErr w:type="spellEnd"/>
            <w:r w:rsidRPr="00E629BD">
              <w:rPr>
                <w:lang w:val="es-ES"/>
              </w:rPr>
              <w:t xml:space="preserve"> (versión 2002) aprobado por la </w:t>
            </w:r>
            <w:r w:rsidRPr="00E629BD">
              <w:rPr>
                <w:i/>
                <w:lang w:val="es-ES"/>
              </w:rPr>
              <w:t xml:space="preserve">International Swaps and Derivatives </w:t>
            </w:r>
            <w:proofErr w:type="spellStart"/>
            <w:r w:rsidRPr="00E629BD">
              <w:rPr>
                <w:i/>
                <w:lang w:val="es-ES"/>
              </w:rPr>
              <w:t>Association</w:t>
            </w:r>
            <w:proofErr w:type="spellEnd"/>
            <w:r w:rsidRPr="00E629BD">
              <w:rPr>
                <w:lang w:val="es-ES"/>
              </w:rPr>
              <w:t xml:space="preserve"> (ISDA), junto con sus correspondientes anexos (</w:t>
            </w:r>
            <w:proofErr w:type="spellStart"/>
            <w:r w:rsidRPr="00E629BD">
              <w:rPr>
                <w:i/>
                <w:lang w:val="es-ES"/>
              </w:rPr>
              <w:t>Schedule</w:t>
            </w:r>
            <w:r w:rsidRPr="00E629BD">
              <w:rPr>
                <w:lang w:val="es-ES"/>
              </w:rPr>
              <w:t>s</w:t>
            </w:r>
            <w:proofErr w:type="spellEnd"/>
            <w:r w:rsidRPr="00E629BD">
              <w:rPr>
                <w:lang w:val="es-ES"/>
              </w:rPr>
              <w:t>) y su confirmación</w:t>
            </w:r>
            <w:r>
              <w:rPr>
                <w:lang w:val="es-ES"/>
              </w:rPr>
              <w:t>.</w:t>
            </w:r>
          </w:p>
        </w:tc>
        <w:tc>
          <w:tcPr>
            <w:tcW w:w="2500" w:type="pct"/>
            <w:shd w:val="clear" w:color="auto" w:fill="auto"/>
          </w:tcPr>
          <w:p w14:paraId="67BAF577" w14:textId="77777777" w:rsidR="000D089E" w:rsidRPr="00E629BD" w:rsidRDefault="000D089E" w:rsidP="000D089E">
            <w:pPr>
              <w:pStyle w:val="AOGenNum2List"/>
              <w:numPr>
                <w:ilvl w:val="3"/>
                <w:numId w:val="29"/>
              </w:numPr>
            </w:pPr>
            <w:r w:rsidRPr="00E629BD">
              <w:lastRenderedPageBreak/>
              <w:t>a</w:t>
            </w:r>
            <w:r>
              <w:t>n amendment agreement of a</w:t>
            </w:r>
            <w:r w:rsidRPr="00E629BD">
              <w:t xml:space="preserve"> financial </w:t>
            </w:r>
            <w:proofErr w:type="gramStart"/>
            <w:r w:rsidRPr="00E629BD">
              <w:t>transactions</w:t>
            </w:r>
            <w:proofErr w:type="gramEnd"/>
            <w:r w:rsidRPr="00E629BD">
              <w:t xml:space="preserve"> framework agreement</w:t>
            </w:r>
            <w:r>
              <w:t xml:space="preserve"> dated 13 November 2015 (as amended on 10 April 2017)</w:t>
            </w:r>
            <w:r w:rsidRPr="00E629BD">
              <w:t xml:space="preserve"> </w:t>
            </w:r>
            <w:proofErr w:type="gramStart"/>
            <w:r w:rsidRPr="00E629BD">
              <w:t>entered into</w:t>
            </w:r>
            <w:proofErr w:type="gramEnd"/>
            <w:r w:rsidRPr="00E629BD">
              <w:t xml:space="preserve"> on 15 June 2019 with </w:t>
            </w:r>
            <w:r w:rsidRPr="00806781">
              <w:t>Barclays Bank PLC</w:t>
            </w:r>
            <w:r w:rsidRPr="009C21E8">
              <w:t xml:space="preserve"> </w:t>
            </w:r>
            <w:r w:rsidRPr="00E629BD">
              <w:t xml:space="preserve">as a hedge counterparty named ISDA Master </w:t>
            </w:r>
            <w:r w:rsidRPr="00E629BD">
              <w:lastRenderedPageBreak/>
              <w:t>Agreement (version 2002) approved by the International Swaps and Derivatives Association (ISDA) and, together with its relevant Schedules and confirmation</w:t>
            </w:r>
            <w:r>
              <w:t>.</w:t>
            </w:r>
          </w:p>
        </w:tc>
      </w:tr>
      <w:tr w:rsidR="000D089E" w:rsidRPr="008E3E7C" w14:paraId="46E3A6F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B02045C" w14:textId="77777777" w:rsidR="000D089E" w:rsidRPr="00B7291E" w:rsidRDefault="000D089E" w:rsidP="000D089E">
            <w:pPr>
              <w:pStyle w:val="AODocTxtL1"/>
              <w:rPr>
                <w:lang w:val="es-ES"/>
              </w:rPr>
            </w:pPr>
            <w:r w:rsidRPr="008E3E7C">
              <w:rPr>
                <w:lang w:val="es-ES"/>
              </w:rPr>
              <w:lastRenderedPageBreak/>
              <w:t xml:space="preserve">En adelante, aquellos instrumentos de cobertura suscritos en cada momento entre </w:t>
            </w:r>
            <w:r>
              <w:rPr>
                <w:lang w:val="es-ES"/>
              </w:rPr>
              <w:t>los Obligados (tal y como este término se define a continuación)</w:t>
            </w:r>
            <w:r w:rsidRPr="008E3E7C">
              <w:rPr>
                <w:lang w:val="es-ES"/>
              </w:rPr>
              <w:t xml:space="preserve"> y una Entidad de Cobertura (</w:t>
            </w:r>
            <w:proofErr w:type="spellStart"/>
            <w:r w:rsidRPr="008E3E7C">
              <w:rPr>
                <w:i/>
                <w:lang w:val="es-ES"/>
              </w:rPr>
              <w:t>Hedge</w:t>
            </w:r>
            <w:proofErr w:type="spellEnd"/>
            <w:r w:rsidRPr="008E3E7C">
              <w:rPr>
                <w:i/>
                <w:lang w:val="es-ES"/>
              </w:rPr>
              <w:t xml:space="preserve"> </w:t>
            </w:r>
            <w:proofErr w:type="spellStart"/>
            <w:r w:rsidRPr="008E3E7C">
              <w:rPr>
                <w:i/>
                <w:lang w:val="es-ES"/>
              </w:rPr>
              <w:t>Counterparty</w:t>
            </w:r>
            <w:proofErr w:type="spellEnd"/>
            <w:r w:rsidRPr="008E3E7C">
              <w:rPr>
                <w:lang w:val="es-ES"/>
              </w:rPr>
              <w:t xml:space="preserve">) al amparo del contrato marco correspondiente (junto con sus Anexos y confirmaciones, e incluyendo cualesquiera operaciones de cobertura suscritas bajo los mismos), cada uno de ellos con sus caracteres propios de autonomía e independencia, tal y como los mismos sean novados, modificados o complementados en cada momento, serán referidos como los </w:t>
            </w:r>
            <w:r w:rsidRPr="008E3E7C">
              <w:rPr>
                <w:b/>
                <w:lang w:val="es-ES"/>
              </w:rPr>
              <w:t>Contratos de Cobertura</w:t>
            </w:r>
            <w:r w:rsidRPr="008E3E7C">
              <w:rPr>
                <w:lang w:val="es-ES"/>
              </w:rPr>
              <w:t>.</w:t>
            </w:r>
          </w:p>
        </w:tc>
        <w:tc>
          <w:tcPr>
            <w:tcW w:w="2500" w:type="pct"/>
            <w:shd w:val="clear" w:color="auto" w:fill="auto"/>
          </w:tcPr>
          <w:p w14:paraId="276E208E" w14:textId="77777777" w:rsidR="000D089E" w:rsidRPr="008E3E7C" w:rsidRDefault="000D089E" w:rsidP="000D089E">
            <w:pPr>
              <w:pStyle w:val="AODocTxtL1"/>
            </w:pPr>
            <w:r w:rsidRPr="008E3E7C">
              <w:t xml:space="preserve">Hereinafter, </w:t>
            </w:r>
            <w:r>
              <w:t>all the</w:t>
            </w:r>
            <w:r w:rsidRPr="008E3E7C">
              <w:t xml:space="preserve"> hedging instruments subscribed at any time between </w:t>
            </w:r>
            <w:r>
              <w:t>the Obligors</w:t>
            </w:r>
            <w:r w:rsidRPr="008E3E7C">
              <w:t xml:space="preserve"> </w:t>
            </w:r>
            <w:r>
              <w:t xml:space="preserve">(as defined below) </w:t>
            </w:r>
            <w:r w:rsidRPr="008E3E7C">
              <w:t xml:space="preserve">and a Hedge Counterparty under the framework contract of their choice (together with their Annexes and confirmations, and including any hedge operations subscribed under these), each of them with their own characteristics of autonomy and independence, as they are </w:t>
            </w:r>
            <w:r>
              <w:t>amended or supplemented from time to time</w:t>
            </w:r>
            <w:r w:rsidRPr="008E3E7C">
              <w:t xml:space="preserve">, will be referred to as </w:t>
            </w:r>
            <w:r w:rsidRPr="008E3E7C">
              <w:rPr>
                <w:b/>
              </w:rPr>
              <w:t>Hedging Agreements</w:t>
            </w:r>
            <w:r w:rsidRPr="008E3E7C">
              <w:t>.</w:t>
            </w:r>
          </w:p>
        </w:tc>
      </w:tr>
      <w:tr w:rsidR="000D089E" w:rsidRPr="00901F23" w14:paraId="2459932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68991EC" w14:textId="2B530B90" w:rsidR="000D089E" w:rsidRPr="00422629" w:rsidRDefault="000D089E" w:rsidP="000D089E">
            <w:pPr>
              <w:pStyle w:val="AOA"/>
              <w:rPr>
                <w:lang w:val="es" w:eastAsia="es-ES"/>
              </w:rPr>
            </w:pPr>
            <w:r w:rsidRPr="0024367D">
              <w:rPr>
                <w:lang w:val="es-ES"/>
              </w:rPr>
              <w:t>Que</w:t>
            </w:r>
            <w:r>
              <w:rPr>
                <w:lang w:val="es-ES"/>
              </w:rPr>
              <w:t xml:space="preserve"> </w:t>
            </w:r>
            <w:r w:rsidRPr="0024367D">
              <w:rPr>
                <w:lang w:val="es-ES"/>
              </w:rPr>
              <w:t>con fecha 15 de junio de 2019 se</w:t>
            </w:r>
            <w:r>
              <w:rPr>
                <w:lang w:val="es-ES"/>
              </w:rPr>
              <w:t xml:space="preserve"> suscribió</w:t>
            </w:r>
            <w:r w:rsidRPr="0024367D">
              <w:rPr>
                <w:lang w:val="es-ES"/>
              </w:rPr>
              <w:t xml:space="preserve"> un </w:t>
            </w:r>
            <w:r w:rsidRPr="00AE2736">
              <w:rPr>
                <w:lang w:val="es" w:eastAsia="es-ES"/>
              </w:rPr>
              <w:t>contrato de condiciones generales denominado en inglés “</w:t>
            </w:r>
            <w:proofErr w:type="spellStart"/>
            <w:r w:rsidRPr="00AE2736">
              <w:rPr>
                <w:i/>
                <w:lang w:val="es" w:eastAsia="es-ES"/>
              </w:rPr>
              <w:t>Common</w:t>
            </w:r>
            <w:proofErr w:type="spellEnd"/>
            <w:r w:rsidRPr="00AE2736">
              <w:rPr>
                <w:i/>
                <w:lang w:val="es" w:eastAsia="es-ES"/>
              </w:rPr>
              <w:t xml:space="preserve"> </w:t>
            </w:r>
            <w:proofErr w:type="spellStart"/>
            <w:r w:rsidRPr="00AE2736">
              <w:rPr>
                <w:i/>
                <w:lang w:val="es" w:eastAsia="es-ES"/>
              </w:rPr>
              <w:t>Terms</w:t>
            </w:r>
            <w:proofErr w:type="spellEnd"/>
            <w:r w:rsidRPr="00AE2736">
              <w:rPr>
                <w:i/>
                <w:lang w:val="es" w:eastAsia="es-ES"/>
              </w:rPr>
              <w:t xml:space="preserve"> </w:t>
            </w:r>
            <w:proofErr w:type="spellStart"/>
            <w:r w:rsidRPr="00AE2736">
              <w:rPr>
                <w:i/>
                <w:lang w:val="es" w:eastAsia="es-ES"/>
              </w:rPr>
              <w:t>Agreement</w:t>
            </w:r>
            <w:proofErr w:type="spellEnd"/>
            <w:r w:rsidRPr="00AE2736">
              <w:rPr>
                <w:lang w:val="es" w:eastAsia="es-ES"/>
              </w:rPr>
              <w:t>”</w:t>
            </w:r>
            <w:r>
              <w:rPr>
                <w:lang w:val="es" w:eastAsia="es-ES"/>
              </w:rPr>
              <w:t xml:space="preserve">, </w:t>
            </w:r>
            <w:r w:rsidRPr="0024367D">
              <w:rPr>
                <w:lang w:val="es-ES"/>
              </w:rPr>
              <w:t>sujeto a ley inglesa,</w:t>
            </w:r>
            <w:r>
              <w:rPr>
                <w:lang w:val="es-ES"/>
              </w:rPr>
              <w:t xml:space="preserve"> </w:t>
            </w:r>
            <w:r w:rsidRPr="0024367D">
              <w:rPr>
                <w:lang w:val="es-ES"/>
              </w:rPr>
              <w:t>por, entre otros,</w:t>
            </w:r>
            <w:r>
              <w:rPr>
                <w:lang w:val="es-ES"/>
              </w:rPr>
              <w:t xml:space="preserve"> ING como agente de garantías (</w:t>
            </w:r>
            <w:r w:rsidRPr="00A968D0">
              <w:rPr>
                <w:i/>
                <w:lang w:val="es-ES"/>
              </w:rPr>
              <w:t>Security Trustee</w:t>
            </w:r>
            <w:r>
              <w:rPr>
                <w:lang w:val="es-ES"/>
              </w:rPr>
              <w:t>),</w:t>
            </w:r>
            <w:r w:rsidRPr="008F1897">
              <w:rPr>
                <w:lang w:val="es-ES"/>
              </w:rPr>
              <w:t xml:space="preserve"> Beacon Finco </w:t>
            </w:r>
            <w:proofErr w:type="spellStart"/>
            <w:r w:rsidRPr="008F1897">
              <w:rPr>
                <w:lang w:val="es-ES"/>
              </w:rPr>
              <w:t>S.à</w:t>
            </w:r>
            <w:proofErr w:type="spellEnd"/>
            <w:r w:rsidRPr="008F1897">
              <w:rPr>
                <w:lang w:val="es-ES"/>
              </w:rPr>
              <w:t xml:space="preserve"> </w:t>
            </w:r>
            <w:proofErr w:type="spellStart"/>
            <w:r w:rsidRPr="008F1897">
              <w:rPr>
                <w:lang w:val="es-ES"/>
              </w:rPr>
              <w:t>r.l</w:t>
            </w:r>
            <w:proofErr w:type="spellEnd"/>
            <w:r w:rsidRPr="008F1897">
              <w:rPr>
                <w:lang w:val="es-ES"/>
              </w:rPr>
              <w:t>.</w:t>
            </w:r>
            <w:r>
              <w:rPr>
                <w:b/>
                <w:lang w:val="es-ES"/>
              </w:rPr>
              <w:t xml:space="preserve"> </w:t>
            </w:r>
            <w:r w:rsidRPr="0024367D">
              <w:rPr>
                <w:lang w:val="es-ES"/>
              </w:rPr>
              <w:t>como emisor (</w:t>
            </w:r>
            <w:proofErr w:type="spellStart"/>
            <w:r w:rsidRPr="0024367D">
              <w:rPr>
                <w:i/>
                <w:lang w:val="es-ES"/>
              </w:rPr>
              <w:t>Issuer</w:t>
            </w:r>
            <w:proofErr w:type="spellEnd"/>
            <w:r w:rsidRPr="0024367D">
              <w:rPr>
                <w:lang w:val="es-ES"/>
              </w:rPr>
              <w:t>)</w:t>
            </w:r>
            <w:r>
              <w:rPr>
                <w:lang w:val="es-ES"/>
              </w:rPr>
              <w:t xml:space="preserve">, Beacon Rail Finance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24367D">
              <w:rPr>
                <w:lang w:val="es-ES"/>
              </w:rPr>
              <w:t xml:space="preserve">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w:t>
            </w:r>
            <w:r>
              <w:rPr>
                <w:lang w:val="es-ES"/>
              </w:rPr>
              <w:t xml:space="preserve">, Beacon Rail Lux Holdings </w:t>
            </w:r>
            <w:proofErr w:type="spellStart"/>
            <w:r>
              <w:rPr>
                <w:lang w:val="es-ES"/>
              </w:rPr>
              <w:t>S.à</w:t>
            </w:r>
            <w:proofErr w:type="spellEnd"/>
            <w:r>
              <w:rPr>
                <w:lang w:val="es-ES"/>
              </w:rPr>
              <w:t xml:space="preserve"> </w:t>
            </w:r>
            <w:proofErr w:type="spellStart"/>
            <w:r>
              <w:rPr>
                <w:lang w:val="es-ES"/>
              </w:rPr>
              <w:t>r.l</w:t>
            </w:r>
            <w:proofErr w:type="spellEnd"/>
            <w:r>
              <w:rPr>
                <w:lang w:val="es-ES"/>
              </w:rPr>
              <w:t>. como accionista (</w:t>
            </w:r>
            <w:proofErr w:type="spellStart"/>
            <w:r w:rsidRPr="00A968D0">
              <w:rPr>
                <w:i/>
                <w:lang w:val="es-ES"/>
              </w:rPr>
              <w:t>Shareholder</w:t>
            </w:r>
            <w:proofErr w:type="spellEnd"/>
            <w:r>
              <w:rPr>
                <w:lang w:val="es-ES"/>
              </w:rPr>
              <w:t xml:space="preserve">) y BRL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E53971">
              <w:rPr>
                <w:lang w:val="es-ES"/>
              </w:rPr>
              <w:t xml:space="preserve">En adelante, el </w:t>
            </w:r>
            <w:r w:rsidRPr="00AE2736">
              <w:rPr>
                <w:lang w:val="es" w:eastAsia="es-ES"/>
              </w:rPr>
              <w:t>contrato de condiciones generales</w:t>
            </w:r>
            <w:r>
              <w:rPr>
                <w:lang w:val="es-ES"/>
              </w:rPr>
              <w:t xml:space="preserve">, junto con cualesquiera documentos que se hubiesen suscrito al amparo </w:t>
            </w:r>
            <w:proofErr w:type="gramStart"/>
            <w:r>
              <w:rPr>
                <w:lang w:val="es-ES"/>
              </w:rPr>
              <w:t>del mismo</w:t>
            </w:r>
            <w:proofErr w:type="gramEnd"/>
            <w:r w:rsidRPr="00E53971">
              <w:rPr>
                <w:lang w:val="es-ES"/>
              </w:rPr>
              <w:t xml:space="preserve">, tal y como </w:t>
            </w:r>
            <w:r>
              <w:rPr>
                <w:lang w:val="es-ES"/>
              </w:rPr>
              <w:t>este</w:t>
            </w:r>
            <w:r w:rsidRPr="00E53971">
              <w:rPr>
                <w:lang w:val="es-ES"/>
              </w:rPr>
              <w:t xml:space="preserve"> sea modificado, extendido, ratificado y/o complementado en cada momento, será referido como el</w:t>
            </w:r>
            <w:r>
              <w:rPr>
                <w:lang w:val="es-ES"/>
              </w:rPr>
              <w:t xml:space="preserve"> </w:t>
            </w:r>
            <w:r>
              <w:rPr>
                <w:b/>
                <w:lang w:val="es" w:eastAsia="es-ES"/>
              </w:rPr>
              <w:t>CTA</w:t>
            </w:r>
            <w:r>
              <w:rPr>
                <w:i/>
                <w:lang w:val="es-ES"/>
              </w:rPr>
              <w:t>.</w:t>
            </w:r>
          </w:p>
        </w:tc>
        <w:tc>
          <w:tcPr>
            <w:tcW w:w="2500" w:type="pct"/>
            <w:shd w:val="clear" w:color="auto" w:fill="auto"/>
          </w:tcPr>
          <w:p w14:paraId="06AFE10E" w14:textId="6B38146F" w:rsidR="000D089E" w:rsidRPr="00901F23" w:rsidRDefault="000D089E" w:rsidP="000D089E">
            <w:pPr>
              <w:pStyle w:val="AODocTxt"/>
              <w:numPr>
                <w:ilvl w:val="0"/>
                <w:numId w:val="39"/>
              </w:numPr>
              <w:ind w:hanging="720"/>
            </w:pPr>
            <w:r w:rsidRPr="00647C7A">
              <w:t xml:space="preserve">That, </w:t>
            </w:r>
            <w:r w:rsidRPr="00901F23">
              <w:t xml:space="preserve">on </w:t>
            </w:r>
            <w:r w:rsidRPr="00E629BD">
              <w:t>15 June 2019</w:t>
            </w:r>
            <w:r w:rsidRPr="00647C7A">
              <w:t xml:space="preserve">, an </w:t>
            </w:r>
            <w:r w:rsidRPr="00B9179C">
              <w:t xml:space="preserve">English law </w:t>
            </w:r>
            <w:r>
              <w:rPr>
                <w:lang w:eastAsia="es-ES"/>
              </w:rPr>
              <w:t>common terms a</w:t>
            </w:r>
            <w:r w:rsidRPr="00B9179C">
              <w:rPr>
                <w:lang w:eastAsia="es-ES"/>
              </w:rPr>
              <w:t>greement</w:t>
            </w:r>
            <w:r w:rsidRPr="00B9179C">
              <w:rPr>
                <w:lang w:eastAsia="en-GB" w:bidi="en-GB"/>
              </w:rPr>
              <w:t xml:space="preserve"> </w:t>
            </w:r>
            <w:r w:rsidRPr="00B9179C">
              <w:t xml:space="preserve">was entered into between, among others, ING as Security Trustee, Beacon Finco </w:t>
            </w:r>
            <w:proofErr w:type="spellStart"/>
            <w:r w:rsidRPr="00B9179C">
              <w:t>S.à</w:t>
            </w:r>
            <w:proofErr w:type="spellEnd"/>
            <w:r w:rsidRPr="00B9179C">
              <w:t xml:space="preserve"> </w:t>
            </w:r>
            <w:proofErr w:type="spellStart"/>
            <w:r w:rsidRPr="00B9179C">
              <w:t>r.l</w:t>
            </w:r>
            <w:proofErr w:type="spellEnd"/>
            <w:r w:rsidRPr="00B9179C">
              <w:t>.</w:t>
            </w:r>
            <w:r w:rsidRPr="00B9179C">
              <w:rPr>
                <w:b/>
              </w:rPr>
              <w:t xml:space="preserve"> </w:t>
            </w:r>
            <w:r w:rsidRPr="00B9179C">
              <w:t xml:space="preserve">as Issuer, Beacon Rail Finance </w:t>
            </w:r>
            <w:proofErr w:type="spellStart"/>
            <w:r w:rsidRPr="00B9179C">
              <w:t>S.à</w:t>
            </w:r>
            <w:proofErr w:type="spellEnd"/>
            <w:r w:rsidRPr="00B9179C">
              <w:t xml:space="preserve"> </w:t>
            </w:r>
            <w:proofErr w:type="spellStart"/>
            <w:r w:rsidRPr="00B9179C">
              <w:t>r.l</w:t>
            </w:r>
            <w:proofErr w:type="spellEnd"/>
            <w:r w:rsidRPr="00B9179C">
              <w:t xml:space="preserve">., Beacon Rail Leasing </w:t>
            </w:r>
            <w:proofErr w:type="spellStart"/>
            <w:r w:rsidRPr="00B9179C">
              <w:t>S.à</w:t>
            </w:r>
            <w:proofErr w:type="spellEnd"/>
            <w:r w:rsidRPr="00B9179C">
              <w:t xml:space="preserve"> </w:t>
            </w:r>
            <w:proofErr w:type="spellStart"/>
            <w:r w:rsidRPr="00B9179C">
              <w:t>r.l</w:t>
            </w:r>
            <w:proofErr w:type="spellEnd"/>
            <w:r w:rsidRPr="00B9179C">
              <w:t xml:space="preserve">. as Security Group Agent, Beacon Rail Lux Holdings </w:t>
            </w:r>
            <w:proofErr w:type="spellStart"/>
            <w:r w:rsidRPr="00B9179C">
              <w:t>S.à</w:t>
            </w:r>
            <w:proofErr w:type="spellEnd"/>
            <w:r w:rsidRPr="00B9179C">
              <w:t xml:space="preserve"> </w:t>
            </w:r>
            <w:proofErr w:type="spellStart"/>
            <w:r w:rsidRPr="00B9179C">
              <w:t>r.l</w:t>
            </w:r>
            <w:proofErr w:type="spellEnd"/>
            <w:r w:rsidRPr="00B9179C">
              <w:t xml:space="preserve">. as Shareholder and </w:t>
            </w:r>
            <w:r w:rsidRPr="00544005">
              <w:t xml:space="preserve">BRL </w:t>
            </w:r>
            <w:proofErr w:type="spellStart"/>
            <w:r w:rsidRPr="00B9179C">
              <w:t>S.à</w:t>
            </w:r>
            <w:proofErr w:type="spellEnd"/>
            <w:r w:rsidRPr="00B9179C">
              <w:t xml:space="preserve"> </w:t>
            </w:r>
            <w:proofErr w:type="spellStart"/>
            <w:r w:rsidRPr="00B9179C">
              <w:t>r.l</w:t>
            </w:r>
            <w:proofErr w:type="spellEnd"/>
            <w:r w:rsidRPr="00B9179C">
              <w:t xml:space="preserve">. Hereinafter, the </w:t>
            </w:r>
            <w:r>
              <w:rPr>
                <w:lang w:eastAsia="es-ES"/>
              </w:rPr>
              <w:t>common terms a</w:t>
            </w:r>
            <w:r w:rsidRPr="00B9179C">
              <w:rPr>
                <w:lang w:eastAsia="es-ES"/>
              </w:rPr>
              <w:t>greement</w:t>
            </w:r>
            <w:r w:rsidRPr="00B9179C">
              <w:t>, together with</w:t>
            </w:r>
            <w:r>
              <w:t xml:space="preserve"> any other documents granted under and pursuant to it, </w:t>
            </w:r>
            <w:r w:rsidRPr="00901F23">
              <w:t xml:space="preserve">as it may be amended, extended, ratified and/or </w:t>
            </w:r>
            <w:r>
              <w:t xml:space="preserve">supplemented from time to time, </w:t>
            </w:r>
            <w:r w:rsidRPr="00901F23">
              <w:t xml:space="preserve">shall be referred to as </w:t>
            </w:r>
            <w:r w:rsidRPr="000A7D7B">
              <w:t xml:space="preserve">the </w:t>
            </w:r>
            <w:r w:rsidRPr="00412B88">
              <w:rPr>
                <w:b/>
                <w:lang w:eastAsia="es-ES"/>
              </w:rPr>
              <w:t>CTA</w:t>
            </w:r>
            <w:r w:rsidRPr="00901F23">
              <w:t>.</w:t>
            </w:r>
          </w:p>
        </w:tc>
      </w:tr>
      <w:tr w:rsidR="000D089E" w:rsidRPr="0024367D" w14:paraId="473D855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B6F1A6F" w14:textId="77777777" w:rsidR="000D089E" w:rsidRPr="0024367D" w:rsidRDefault="000D089E" w:rsidP="000D089E">
            <w:pPr>
              <w:pStyle w:val="AODocTxtL1"/>
              <w:rPr>
                <w:lang w:val="es-ES"/>
              </w:rPr>
            </w:pPr>
            <w:r w:rsidRPr="00E53971">
              <w:rPr>
                <w:lang w:val="es-ES"/>
              </w:rPr>
              <w:t xml:space="preserve">El </w:t>
            </w:r>
            <w:r>
              <w:rPr>
                <w:lang w:val="es-ES"/>
              </w:rPr>
              <w:t>CTA</w:t>
            </w:r>
            <w:r w:rsidRPr="00E53971">
              <w:rPr>
                <w:lang w:val="es-ES"/>
              </w:rPr>
              <w:t xml:space="preserve"> </w:t>
            </w:r>
            <w:r>
              <w:rPr>
                <w:lang w:val="es-ES"/>
              </w:rPr>
              <w:t>fue</w:t>
            </w:r>
            <w:r w:rsidRPr="00E53971">
              <w:rPr>
                <w:lang w:val="es-ES"/>
              </w:rPr>
              <w:t xml:space="preserve"> elevado a público e</w:t>
            </w:r>
            <w:r>
              <w:rPr>
                <w:lang w:val="es-ES"/>
              </w:rPr>
              <w:t xml:space="preserv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de Madrid, D. Antonio Luis Reina Gutiérrez.</w:t>
            </w:r>
          </w:p>
        </w:tc>
        <w:tc>
          <w:tcPr>
            <w:tcW w:w="2500" w:type="pct"/>
            <w:shd w:val="clear" w:color="auto" w:fill="auto"/>
          </w:tcPr>
          <w:p w14:paraId="1055D0F2" w14:textId="77777777" w:rsidR="000D089E" w:rsidRPr="0024367D" w:rsidRDefault="000D089E" w:rsidP="000D089E">
            <w:pPr>
              <w:pStyle w:val="AODocTxtL1"/>
            </w:pPr>
            <w:r>
              <w:t>The CTA</w:t>
            </w:r>
            <w:r w:rsidRPr="00901F23">
              <w:t xml:space="preserve"> </w:t>
            </w:r>
            <w:r>
              <w:t>was</w:t>
            </w:r>
            <w:r w:rsidRPr="00901F23">
              <w:t xml:space="preserve"> raised to the status of public document</w:t>
            </w:r>
            <w:r>
              <w:t xml:space="preserve"> on</w:t>
            </w:r>
            <w:r w:rsidRPr="00901F23">
              <w:t xml:space="preserve"> </w:t>
            </w:r>
            <w:r>
              <w:t>22 April 2021</w:t>
            </w:r>
            <w:r w:rsidRPr="00901F23">
              <w:t xml:space="preserve"> by means of a deed</w:t>
            </w:r>
            <w:r>
              <w:t xml:space="preserve"> intervened by</w:t>
            </w:r>
            <w:r w:rsidRPr="00973006">
              <w:t xml:space="preserve"> the </w:t>
            </w:r>
            <w:r>
              <w:t>Notary of Madrid, Mr. Antonio-Luis Reina Gutierrez.</w:t>
            </w:r>
            <w:r w:rsidRPr="00923375">
              <w:rPr>
                <w:b/>
                <w:i/>
              </w:rPr>
              <w:t xml:space="preserve"> </w:t>
            </w:r>
          </w:p>
        </w:tc>
      </w:tr>
      <w:tr w:rsidR="000D089E" w:rsidRPr="00901F23" w14:paraId="3A868B1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E323C7F" w14:textId="5CC53A7A" w:rsidR="000D089E" w:rsidRPr="00422629" w:rsidRDefault="000D089E" w:rsidP="000D089E">
            <w:pPr>
              <w:pStyle w:val="AOA"/>
              <w:rPr>
                <w:lang w:val="es" w:eastAsia="es-ES"/>
              </w:rPr>
            </w:pPr>
            <w:r w:rsidRPr="0024367D">
              <w:rPr>
                <w:lang w:val="es-ES"/>
              </w:rPr>
              <w:t>Que</w:t>
            </w:r>
            <w:r>
              <w:rPr>
                <w:lang w:val="es-ES"/>
              </w:rPr>
              <w:t xml:space="preserve"> </w:t>
            </w:r>
            <w:r w:rsidRPr="0024367D">
              <w:rPr>
                <w:lang w:val="es-ES"/>
              </w:rPr>
              <w:t xml:space="preserve">con fecha 15 de junio de 2019 </w:t>
            </w:r>
            <w:r>
              <w:rPr>
                <w:lang w:val="es-ES"/>
              </w:rPr>
              <w:t>se suscribió</w:t>
            </w:r>
            <w:r w:rsidRPr="0024367D">
              <w:rPr>
                <w:lang w:val="es-ES"/>
              </w:rPr>
              <w:t xml:space="preserve"> un </w:t>
            </w:r>
            <w:r w:rsidRPr="00AE2736">
              <w:rPr>
                <w:lang w:val="es" w:eastAsia="es-ES"/>
              </w:rPr>
              <w:t>contrato marco de definiciones denominado en inglés “</w:t>
            </w:r>
            <w:proofErr w:type="gramStart"/>
            <w:r>
              <w:rPr>
                <w:i/>
                <w:lang w:val="es" w:eastAsia="es-ES"/>
              </w:rPr>
              <w:t>Master</w:t>
            </w:r>
            <w:proofErr w:type="gramEnd"/>
            <w:r>
              <w:rPr>
                <w:i/>
                <w:lang w:val="es" w:eastAsia="es-ES"/>
              </w:rPr>
              <w:t xml:space="preserve"> </w:t>
            </w:r>
            <w:proofErr w:type="spellStart"/>
            <w:r>
              <w:rPr>
                <w:i/>
                <w:lang w:val="es" w:eastAsia="es-ES"/>
              </w:rPr>
              <w:t>Definitions</w:t>
            </w:r>
            <w:proofErr w:type="spellEnd"/>
            <w:r w:rsidRPr="00AE2736">
              <w:rPr>
                <w:i/>
                <w:lang w:val="es" w:eastAsia="es-ES"/>
              </w:rPr>
              <w:t xml:space="preserve"> </w:t>
            </w:r>
            <w:proofErr w:type="spellStart"/>
            <w:r w:rsidRPr="00AE2736">
              <w:rPr>
                <w:i/>
                <w:lang w:val="es" w:eastAsia="es-ES"/>
              </w:rPr>
              <w:t>Agreement</w:t>
            </w:r>
            <w:proofErr w:type="spellEnd"/>
            <w:r w:rsidRPr="00AE2736">
              <w:rPr>
                <w:lang w:val="es" w:eastAsia="es-ES"/>
              </w:rPr>
              <w:t>”</w:t>
            </w:r>
            <w:r>
              <w:rPr>
                <w:lang w:val="es" w:eastAsia="es-ES"/>
              </w:rPr>
              <w:t xml:space="preserve">, </w:t>
            </w:r>
            <w:r w:rsidRPr="0024367D">
              <w:rPr>
                <w:lang w:val="es-ES"/>
              </w:rPr>
              <w:t>sujeto a ley inglesa,</w:t>
            </w:r>
            <w:r>
              <w:rPr>
                <w:lang w:val="es-ES"/>
              </w:rPr>
              <w:t xml:space="preserve"> </w:t>
            </w:r>
            <w:r w:rsidRPr="0024367D">
              <w:rPr>
                <w:lang w:val="es-ES"/>
              </w:rPr>
              <w:t>por, entre otros,</w:t>
            </w:r>
            <w:r>
              <w:rPr>
                <w:lang w:val="es-ES"/>
              </w:rPr>
              <w:t xml:space="preserve"> ING como agente de garantías </w:t>
            </w:r>
            <w:r>
              <w:rPr>
                <w:lang w:val="es-ES"/>
              </w:rPr>
              <w:lastRenderedPageBreak/>
              <w:t>(</w:t>
            </w:r>
            <w:r w:rsidRPr="00A968D0">
              <w:rPr>
                <w:i/>
                <w:lang w:val="es-ES"/>
              </w:rPr>
              <w:t>Security Trustee</w:t>
            </w:r>
            <w:r>
              <w:rPr>
                <w:lang w:val="es-ES"/>
              </w:rPr>
              <w:t>),</w:t>
            </w:r>
            <w:r w:rsidRPr="008F1897">
              <w:rPr>
                <w:lang w:val="es-ES"/>
              </w:rPr>
              <w:t xml:space="preserve"> Beacon Finco </w:t>
            </w:r>
            <w:proofErr w:type="spellStart"/>
            <w:r w:rsidRPr="008F1897">
              <w:rPr>
                <w:lang w:val="es-ES"/>
              </w:rPr>
              <w:t>S.à</w:t>
            </w:r>
            <w:proofErr w:type="spellEnd"/>
            <w:r w:rsidRPr="008F1897">
              <w:rPr>
                <w:lang w:val="es-ES"/>
              </w:rPr>
              <w:t xml:space="preserve"> </w:t>
            </w:r>
            <w:proofErr w:type="spellStart"/>
            <w:r w:rsidRPr="008F1897">
              <w:rPr>
                <w:lang w:val="es-ES"/>
              </w:rPr>
              <w:t>r.l</w:t>
            </w:r>
            <w:proofErr w:type="spellEnd"/>
            <w:r w:rsidRPr="008F1897">
              <w:rPr>
                <w:lang w:val="es-ES"/>
              </w:rPr>
              <w:t>.</w:t>
            </w:r>
            <w:r>
              <w:rPr>
                <w:b/>
                <w:lang w:val="es-ES"/>
              </w:rPr>
              <w:t xml:space="preserve"> </w:t>
            </w:r>
            <w:r w:rsidRPr="0024367D">
              <w:rPr>
                <w:lang w:val="es-ES"/>
              </w:rPr>
              <w:t>como emisor (</w:t>
            </w:r>
            <w:proofErr w:type="spellStart"/>
            <w:r w:rsidRPr="0024367D">
              <w:rPr>
                <w:i/>
                <w:lang w:val="es-ES"/>
              </w:rPr>
              <w:t>Issuer</w:t>
            </w:r>
            <w:proofErr w:type="spellEnd"/>
            <w:r w:rsidRPr="0024367D">
              <w:rPr>
                <w:lang w:val="es-ES"/>
              </w:rPr>
              <w:t>)</w:t>
            </w:r>
            <w:r>
              <w:rPr>
                <w:lang w:val="es-ES"/>
              </w:rPr>
              <w:t xml:space="preserve">, Beacon Rail Finance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24367D">
              <w:rPr>
                <w:lang w:val="es-ES"/>
              </w:rPr>
              <w:t xml:space="preserve">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w:t>
            </w:r>
            <w:r>
              <w:rPr>
                <w:lang w:val="es-ES"/>
              </w:rPr>
              <w:t xml:space="preserve">, Beacon Rail Lux Holdings </w:t>
            </w:r>
            <w:proofErr w:type="spellStart"/>
            <w:r>
              <w:rPr>
                <w:lang w:val="es-ES"/>
              </w:rPr>
              <w:t>S.à</w:t>
            </w:r>
            <w:proofErr w:type="spellEnd"/>
            <w:r>
              <w:rPr>
                <w:lang w:val="es-ES"/>
              </w:rPr>
              <w:t xml:space="preserve"> </w:t>
            </w:r>
            <w:proofErr w:type="spellStart"/>
            <w:r>
              <w:rPr>
                <w:lang w:val="es-ES"/>
              </w:rPr>
              <w:t>r.l</w:t>
            </w:r>
            <w:proofErr w:type="spellEnd"/>
            <w:r>
              <w:rPr>
                <w:lang w:val="es-ES"/>
              </w:rPr>
              <w:t>. como accionista (</w:t>
            </w:r>
            <w:proofErr w:type="spellStart"/>
            <w:r w:rsidRPr="00A968D0">
              <w:rPr>
                <w:i/>
                <w:lang w:val="es-ES"/>
              </w:rPr>
              <w:t>Shareholder</w:t>
            </w:r>
            <w:proofErr w:type="spellEnd"/>
            <w:r>
              <w:rPr>
                <w:lang w:val="es-ES"/>
              </w:rPr>
              <w:t xml:space="preserve">) y BRL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E53971">
              <w:rPr>
                <w:lang w:val="es-ES"/>
              </w:rPr>
              <w:t xml:space="preserve">En adelante, el </w:t>
            </w:r>
            <w:r w:rsidRPr="00AE2736">
              <w:rPr>
                <w:lang w:val="es" w:eastAsia="es-ES"/>
              </w:rPr>
              <w:t>contrato marco de definiciones</w:t>
            </w:r>
            <w:r>
              <w:rPr>
                <w:lang w:val="es-ES"/>
              </w:rPr>
              <w:t xml:space="preserve">, junto con cualesquiera documentos que se hubiesen suscrito al amparo </w:t>
            </w:r>
            <w:proofErr w:type="gramStart"/>
            <w:r>
              <w:rPr>
                <w:lang w:val="es-ES"/>
              </w:rPr>
              <w:t>del mismo</w:t>
            </w:r>
            <w:proofErr w:type="gramEnd"/>
            <w:r w:rsidRPr="00E53971">
              <w:rPr>
                <w:lang w:val="es-ES"/>
              </w:rPr>
              <w:t xml:space="preserve">, tal y como </w:t>
            </w:r>
            <w:r>
              <w:rPr>
                <w:lang w:val="es-ES"/>
              </w:rPr>
              <w:t>este</w:t>
            </w:r>
            <w:r w:rsidRPr="00E53971">
              <w:rPr>
                <w:lang w:val="es-ES"/>
              </w:rPr>
              <w:t xml:space="preserve"> sea modificado, extendido, ratificado y/o complementado en cada momento, será referido como el</w:t>
            </w:r>
            <w:r>
              <w:rPr>
                <w:lang w:val="es-ES"/>
              </w:rPr>
              <w:t xml:space="preserve"> </w:t>
            </w:r>
            <w:r>
              <w:rPr>
                <w:b/>
                <w:lang w:val="es" w:eastAsia="es-ES"/>
              </w:rPr>
              <w:t>MDA</w:t>
            </w:r>
            <w:r>
              <w:rPr>
                <w:i/>
                <w:lang w:val="es-ES"/>
              </w:rPr>
              <w:t>.</w:t>
            </w:r>
          </w:p>
        </w:tc>
        <w:tc>
          <w:tcPr>
            <w:tcW w:w="2500" w:type="pct"/>
            <w:shd w:val="clear" w:color="auto" w:fill="auto"/>
          </w:tcPr>
          <w:p w14:paraId="08478358" w14:textId="4D45F8A0" w:rsidR="000D089E" w:rsidRPr="00901F23" w:rsidRDefault="000D089E" w:rsidP="000D089E">
            <w:pPr>
              <w:pStyle w:val="AODocTxt"/>
              <w:numPr>
                <w:ilvl w:val="0"/>
                <w:numId w:val="39"/>
              </w:numPr>
              <w:ind w:hanging="720"/>
            </w:pPr>
            <w:r w:rsidRPr="00647C7A">
              <w:lastRenderedPageBreak/>
              <w:t xml:space="preserve">That, </w:t>
            </w:r>
            <w:r w:rsidRPr="00901F23">
              <w:t xml:space="preserve">on </w:t>
            </w:r>
            <w:r w:rsidRPr="00E629BD">
              <w:t>15 June 2019</w:t>
            </w:r>
            <w:r w:rsidRPr="00647C7A">
              <w:t xml:space="preserve">, an </w:t>
            </w:r>
            <w:r w:rsidRPr="00B9179C">
              <w:t xml:space="preserve">English law </w:t>
            </w:r>
            <w:r>
              <w:rPr>
                <w:lang w:eastAsia="es-ES"/>
              </w:rPr>
              <w:t>master definitions agreement</w:t>
            </w:r>
            <w:r w:rsidRPr="00B9179C">
              <w:rPr>
                <w:lang w:eastAsia="en-GB" w:bidi="en-GB"/>
              </w:rPr>
              <w:t xml:space="preserve"> </w:t>
            </w:r>
            <w:r w:rsidRPr="00B9179C">
              <w:t xml:space="preserve">was entered into between, among others, ING as Security Trustee, Beacon Finco </w:t>
            </w:r>
            <w:proofErr w:type="spellStart"/>
            <w:r w:rsidRPr="00B9179C">
              <w:t>S.à</w:t>
            </w:r>
            <w:proofErr w:type="spellEnd"/>
            <w:r w:rsidRPr="00B9179C">
              <w:t xml:space="preserve"> </w:t>
            </w:r>
            <w:proofErr w:type="spellStart"/>
            <w:r w:rsidRPr="00B9179C">
              <w:t>r.l</w:t>
            </w:r>
            <w:proofErr w:type="spellEnd"/>
            <w:r w:rsidRPr="00B9179C">
              <w:t>.</w:t>
            </w:r>
            <w:r w:rsidRPr="00B9179C">
              <w:rPr>
                <w:b/>
              </w:rPr>
              <w:t xml:space="preserve"> </w:t>
            </w:r>
            <w:r w:rsidRPr="00B9179C">
              <w:t xml:space="preserve">as Issuer, Beacon Rail Finance </w:t>
            </w:r>
            <w:proofErr w:type="spellStart"/>
            <w:r w:rsidRPr="00B9179C">
              <w:t>S.à</w:t>
            </w:r>
            <w:proofErr w:type="spellEnd"/>
            <w:r w:rsidRPr="00B9179C">
              <w:t xml:space="preserve"> </w:t>
            </w:r>
            <w:proofErr w:type="spellStart"/>
            <w:r w:rsidRPr="00B9179C">
              <w:t>r.l</w:t>
            </w:r>
            <w:proofErr w:type="spellEnd"/>
            <w:r w:rsidRPr="00B9179C">
              <w:t xml:space="preserve">., Beacon </w:t>
            </w:r>
            <w:r w:rsidRPr="00B9179C">
              <w:lastRenderedPageBreak/>
              <w:t xml:space="preserve">Rail Leasing </w:t>
            </w:r>
            <w:proofErr w:type="spellStart"/>
            <w:r w:rsidRPr="00B9179C">
              <w:t>S.à</w:t>
            </w:r>
            <w:proofErr w:type="spellEnd"/>
            <w:r w:rsidRPr="00B9179C">
              <w:t xml:space="preserve"> </w:t>
            </w:r>
            <w:proofErr w:type="spellStart"/>
            <w:r w:rsidRPr="00B9179C">
              <w:t>r.l</w:t>
            </w:r>
            <w:proofErr w:type="spellEnd"/>
            <w:r w:rsidRPr="00B9179C">
              <w:t xml:space="preserve">. as Security Group Agent, Beacon Rail Lux Holdings </w:t>
            </w:r>
            <w:proofErr w:type="spellStart"/>
            <w:r w:rsidRPr="00B9179C">
              <w:t>S.à</w:t>
            </w:r>
            <w:proofErr w:type="spellEnd"/>
            <w:r w:rsidRPr="00B9179C">
              <w:t xml:space="preserve"> </w:t>
            </w:r>
            <w:proofErr w:type="spellStart"/>
            <w:r w:rsidRPr="00B9179C">
              <w:t>r.l</w:t>
            </w:r>
            <w:proofErr w:type="spellEnd"/>
            <w:r w:rsidRPr="00B9179C">
              <w:t xml:space="preserve">. as Shareholder and </w:t>
            </w:r>
            <w:r w:rsidRPr="00544005">
              <w:t>BRL</w:t>
            </w:r>
            <w:r w:rsidRPr="00B9179C">
              <w:t xml:space="preserve"> </w:t>
            </w:r>
            <w:proofErr w:type="spellStart"/>
            <w:r w:rsidRPr="00B9179C">
              <w:t>S.à</w:t>
            </w:r>
            <w:proofErr w:type="spellEnd"/>
            <w:r w:rsidRPr="00B9179C">
              <w:t xml:space="preserve"> </w:t>
            </w:r>
            <w:proofErr w:type="spellStart"/>
            <w:r w:rsidRPr="00B9179C">
              <w:t>r.l</w:t>
            </w:r>
            <w:proofErr w:type="spellEnd"/>
            <w:r w:rsidRPr="00B9179C">
              <w:t xml:space="preserve">. Hereinafter, the </w:t>
            </w:r>
            <w:r>
              <w:rPr>
                <w:lang w:eastAsia="es-ES"/>
              </w:rPr>
              <w:t>master definitions agreement</w:t>
            </w:r>
            <w:r w:rsidRPr="00B9179C">
              <w:t>, together with</w:t>
            </w:r>
            <w:r>
              <w:t xml:space="preserve"> any other documents granted under and pursuant to it, </w:t>
            </w:r>
            <w:r w:rsidRPr="00901F23">
              <w:t xml:space="preserve">as it may be amended, extended, ratified and/or </w:t>
            </w:r>
            <w:r>
              <w:t xml:space="preserve">supplemented from time to time, </w:t>
            </w:r>
            <w:r w:rsidRPr="00901F23">
              <w:t xml:space="preserve">shall be referred to as </w:t>
            </w:r>
            <w:r w:rsidRPr="000A7D7B">
              <w:t xml:space="preserve">the </w:t>
            </w:r>
            <w:r>
              <w:rPr>
                <w:b/>
                <w:lang w:eastAsia="es-ES"/>
              </w:rPr>
              <w:t>MDA</w:t>
            </w:r>
            <w:r w:rsidRPr="00901F23">
              <w:t>.</w:t>
            </w:r>
          </w:p>
        </w:tc>
      </w:tr>
      <w:tr w:rsidR="000D089E" w:rsidRPr="0024367D" w14:paraId="2A9A3CD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6925C60" w14:textId="77777777" w:rsidR="000D089E" w:rsidRPr="0024367D" w:rsidRDefault="000D089E" w:rsidP="000D089E">
            <w:pPr>
              <w:pStyle w:val="AODocTxtL1"/>
              <w:rPr>
                <w:lang w:val="es-ES"/>
              </w:rPr>
            </w:pPr>
            <w:r w:rsidRPr="00E53971">
              <w:rPr>
                <w:lang w:val="es-ES"/>
              </w:rPr>
              <w:lastRenderedPageBreak/>
              <w:t xml:space="preserve">El </w:t>
            </w:r>
            <w:r>
              <w:rPr>
                <w:lang w:val="es-ES"/>
              </w:rPr>
              <w:t>MDA</w:t>
            </w:r>
            <w:r w:rsidRPr="00E53971">
              <w:rPr>
                <w:lang w:val="es-ES"/>
              </w:rPr>
              <w:t xml:space="preserve"> </w:t>
            </w:r>
            <w:r>
              <w:rPr>
                <w:lang w:val="es-ES"/>
              </w:rPr>
              <w:t>fue</w:t>
            </w:r>
            <w:r w:rsidRPr="00E53971">
              <w:rPr>
                <w:lang w:val="es-ES"/>
              </w:rPr>
              <w:t xml:space="preserve"> elevado a público e</w:t>
            </w:r>
            <w:r>
              <w:rPr>
                <w:lang w:val="es-ES"/>
              </w:rPr>
              <w:t xml:space="preserv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de Madrid, D. Antonio Luis Reina Gutiérrez.</w:t>
            </w:r>
            <w:r w:rsidRPr="00923375">
              <w:rPr>
                <w:b/>
                <w:i/>
                <w:lang w:val="es-ES"/>
              </w:rPr>
              <w:t xml:space="preserve"> </w:t>
            </w:r>
          </w:p>
        </w:tc>
        <w:tc>
          <w:tcPr>
            <w:tcW w:w="2500" w:type="pct"/>
            <w:shd w:val="clear" w:color="auto" w:fill="auto"/>
          </w:tcPr>
          <w:p w14:paraId="47EEAE1C" w14:textId="77777777" w:rsidR="000D089E" w:rsidRPr="0024367D" w:rsidRDefault="000D089E" w:rsidP="000D089E">
            <w:pPr>
              <w:pStyle w:val="AODocTxtL1"/>
            </w:pPr>
            <w:r>
              <w:t>The MDA</w:t>
            </w:r>
            <w:r w:rsidRPr="00901F23">
              <w:t xml:space="preserve"> </w:t>
            </w:r>
            <w:r>
              <w:t>was</w:t>
            </w:r>
            <w:r w:rsidRPr="00901F23">
              <w:t xml:space="preserve"> raised to the status of public document</w:t>
            </w:r>
            <w:r>
              <w:t xml:space="preserve"> on 22 April 2021</w:t>
            </w:r>
            <w:r w:rsidRPr="00901F23">
              <w:t xml:space="preserve"> by means of a deed</w:t>
            </w:r>
            <w:r>
              <w:t xml:space="preserve"> intervened by</w:t>
            </w:r>
            <w:r w:rsidRPr="00973006">
              <w:t xml:space="preserve"> the </w:t>
            </w:r>
            <w:r>
              <w:t>Notary of Madrid, Mr. Antonio-Luis Reina Gutierrez.</w:t>
            </w:r>
            <w:r w:rsidRPr="00923375">
              <w:rPr>
                <w:b/>
                <w:i/>
              </w:rPr>
              <w:t xml:space="preserve"> </w:t>
            </w:r>
          </w:p>
        </w:tc>
      </w:tr>
      <w:tr w:rsidR="000D089E" w:rsidRPr="00143298" w14:paraId="57AA3FA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A1CE7AF" w14:textId="4D16FB71" w:rsidR="000D089E" w:rsidRPr="00E53971" w:rsidRDefault="000D089E" w:rsidP="000D089E">
            <w:pPr>
              <w:pStyle w:val="AOA"/>
              <w:rPr>
                <w:lang w:val="es-ES"/>
              </w:rPr>
            </w:pPr>
            <w:r w:rsidRPr="0024367D">
              <w:rPr>
                <w:lang w:val="es-ES"/>
              </w:rPr>
              <w:t>Que</w:t>
            </w:r>
            <w:r>
              <w:rPr>
                <w:lang w:val="es-ES"/>
              </w:rPr>
              <w:t xml:space="preserve"> </w:t>
            </w:r>
            <w:r w:rsidRPr="0024367D">
              <w:rPr>
                <w:lang w:val="es-ES"/>
              </w:rPr>
              <w:t xml:space="preserve">con fecha 15 de junio de 2019 </w:t>
            </w:r>
            <w:r>
              <w:rPr>
                <w:lang w:val="es-ES"/>
              </w:rPr>
              <w:t>se suscribió</w:t>
            </w:r>
            <w:r w:rsidRPr="0024367D">
              <w:rPr>
                <w:lang w:val="es-ES"/>
              </w:rPr>
              <w:t xml:space="preserve"> un </w:t>
            </w:r>
            <w:r w:rsidRPr="00AE2736">
              <w:rPr>
                <w:lang w:val="es" w:eastAsia="es-ES"/>
              </w:rPr>
              <w:t xml:space="preserve">contrato </w:t>
            </w:r>
            <w:r>
              <w:rPr>
                <w:lang w:val="es" w:eastAsia="es-ES"/>
              </w:rPr>
              <w:t>de condiciones previas</w:t>
            </w:r>
            <w:r w:rsidRPr="00AE2736">
              <w:rPr>
                <w:lang w:val="es" w:eastAsia="es-ES"/>
              </w:rPr>
              <w:t xml:space="preserve"> denominado en inglés “</w:t>
            </w:r>
            <w:proofErr w:type="spellStart"/>
            <w:r>
              <w:rPr>
                <w:i/>
                <w:lang w:val="es" w:eastAsia="es-ES"/>
              </w:rPr>
              <w:t>Conditions</w:t>
            </w:r>
            <w:proofErr w:type="spellEnd"/>
            <w:r>
              <w:rPr>
                <w:i/>
                <w:lang w:val="es" w:eastAsia="es-ES"/>
              </w:rPr>
              <w:t xml:space="preserve"> </w:t>
            </w:r>
            <w:proofErr w:type="spellStart"/>
            <w:r>
              <w:rPr>
                <w:i/>
                <w:lang w:val="es" w:eastAsia="es-ES"/>
              </w:rPr>
              <w:t>Precedent</w:t>
            </w:r>
            <w:proofErr w:type="spellEnd"/>
            <w:r w:rsidRPr="00AE2736">
              <w:rPr>
                <w:i/>
                <w:lang w:val="es" w:eastAsia="es-ES"/>
              </w:rPr>
              <w:t xml:space="preserve"> </w:t>
            </w:r>
            <w:proofErr w:type="spellStart"/>
            <w:r w:rsidRPr="00AE2736">
              <w:rPr>
                <w:i/>
                <w:lang w:val="es" w:eastAsia="es-ES"/>
              </w:rPr>
              <w:t>Agreement</w:t>
            </w:r>
            <w:proofErr w:type="spellEnd"/>
            <w:r w:rsidRPr="00AE2736">
              <w:rPr>
                <w:lang w:val="es" w:eastAsia="es-ES"/>
              </w:rPr>
              <w:t>”</w:t>
            </w:r>
            <w:r>
              <w:rPr>
                <w:lang w:val="es" w:eastAsia="es-ES"/>
              </w:rPr>
              <w:t xml:space="preserve">, </w:t>
            </w:r>
            <w:r w:rsidRPr="0024367D">
              <w:rPr>
                <w:lang w:val="es-ES"/>
              </w:rPr>
              <w:t>sujeto a ley inglesa,</w:t>
            </w:r>
            <w:r>
              <w:rPr>
                <w:lang w:val="es-ES"/>
              </w:rPr>
              <w:t xml:space="preserve"> </w:t>
            </w:r>
            <w:r w:rsidRPr="0024367D">
              <w:rPr>
                <w:lang w:val="es-ES"/>
              </w:rPr>
              <w:t>por, entre otros,</w:t>
            </w:r>
            <w:r>
              <w:rPr>
                <w:lang w:val="es-ES"/>
              </w:rPr>
              <w:t xml:space="preserve"> ING como agente de garantías (</w:t>
            </w:r>
            <w:r w:rsidRPr="00A968D0">
              <w:rPr>
                <w:i/>
                <w:lang w:val="es-ES"/>
              </w:rPr>
              <w:t>Security Trustee</w:t>
            </w:r>
            <w:r>
              <w:rPr>
                <w:lang w:val="es-ES"/>
              </w:rPr>
              <w:t>),</w:t>
            </w:r>
            <w:r w:rsidRPr="008F1897">
              <w:rPr>
                <w:lang w:val="es-ES"/>
              </w:rPr>
              <w:t xml:space="preserve"> Beacon Finco </w:t>
            </w:r>
            <w:proofErr w:type="spellStart"/>
            <w:r w:rsidRPr="008F1897">
              <w:rPr>
                <w:lang w:val="es-ES"/>
              </w:rPr>
              <w:t>S.à</w:t>
            </w:r>
            <w:proofErr w:type="spellEnd"/>
            <w:r w:rsidRPr="008F1897">
              <w:rPr>
                <w:lang w:val="es-ES"/>
              </w:rPr>
              <w:t xml:space="preserve"> </w:t>
            </w:r>
            <w:proofErr w:type="spellStart"/>
            <w:r w:rsidRPr="008F1897">
              <w:rPr>
                <w:lang w:val="es-ES"/>
              </w:rPr>
              <w:t>r.l</w:t>
            </w:r>
            <w:proofErr w:type="spellEnd"/>
            <w:r w:rsidRPr="008F1897">
              <w:rPr>
                <w:lang w:val="es-ES"/>
              </w:rPr>
              <w:t>.</w:t>
            </w:r>
            <w:r>
              <w:rPr>
                <w:b/>
                <w:lang w:val="es-ES"/>
              </w:rPr>
              <w:t xml:space="preserve"> </w:t>
            </w:r>
            <w:r w:rsidRPr="0024367D">
              <w:rPr>
                <w:lang w:val="es-ES"/>
              </w:rPr>
              <w:t>como emisor (</w:t>
            </w:r>
            <w:proofErr w:type="spellStart"/>
            <w:r w:rsidRPr="0024367D">
              <w:rPr>
                <w:i/>
                <w:lang w:val="es-ES"/>
              </w:rPr>
              <w:t>Issuer</w:t>
            </w:r>
            <w:proofErr w:type="spellEnd"/>
            <w:r w:rsidRPr="0024367D">
              <w:rPr>
                <w:lang w:val="es-ES"/>
              </w:rPr>
              <w:t>)</w:t>
            </w:r>
            <w:r>
              <w:rPr>
                <w:lang w:val="es-ES"/>
              </w:rPr>
              <w:t xml:space="preserve">, </w:t>
            </w:r>
            <w:r w:rsidRPr="0024367D">
              <w:rPr>
                <w:lang w:val="es-ES"/>
              </w:rPr>
              <w:t xml:space="preserve">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w:t>
            </w:r>
            <w:r>
              <w:rPr>
                <w:lang w:val="es-ES"/>
              </w:rPr>
              <w:t xml:space="preserve">, Beacon Rail Lux Holdings </w:t>
            </w:r>
            <w:proofErr w:type="spellStart"/>
            <w:r>
              <w:rPr>
                <w:lang w:val="es-ES"/>
              </w:rPr>
              <w:t>S.à</w:t>
            </w:r>
            <w:proofErr w:type="spellEnd"/>
            <w:r>
              <w:rPr>
                <w:lang w:val="es-ES"/>
              </w:rPr>
              <w:t xml:space="preserve"> </w:t>
            </w:r>
            <w:proofErr w:type="spellStart"/>
            <w:r>
              <w:rPr>
                <w:lang w:val="es-ES"/>
              </w:rPr>
              <w:t>r.l</w:t>
            </w:r>
            <w:proofErr w:type="spellEnd"/>
            <w:r>
              <w:rPr>
                <w:lang w:val="es-ES"/>
              </w:rPr>
              <w:t>. como accionista (</w:t>
            </w:r>
            <w:proofErr w:type="spellStart"/>
            <w:r w:rsidRPr="00A968D0">
              <w:rPr>
                <w:i/>
                <w:lang w:val="es-ES"/>
              </w:rPr>
              <w:t>Shareholder</w:t>
            </w:r>
            <w:proofErr w:type="spellEnd"/>
            <w:r>
              <w:rPr>
                <w:lang w:val="es-ES"/>
              </w:rPr>
              <w:t xml:space="preserve">) y BRL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E53971">
              <w:rPr>
                <w:lang w:val="es-ES"/>
              </w:rPr>
              <w:t xml:space="preserve">En adelante, el </w:t>
            </w:r>
            <w:r w:rsidRPr="00AE2736">
              <w:rPr>
                <w:lang w:val="es" w:eastAsia="es-ES"/>
              </w:rPr>
              <w:t xml:space="preserve">contrato </w:t>
            </w:r>
            <w:r>
              <w:rPr>
                <w:lang w:val="es" w:eastAsia="es-ES"/>
              </w:rPr>
              <w:t>de condiciones previas</w:t>
            </w:r>
            <w:r>
              <w:rPr>
                <w:lang w:val="es-ES"/>
              </w:rPr>
              <w:t xml:space="preserve">, junto con cualesquiera documentos que se hubiesen suscrito al amparo </w:t>
            </w:r>
            <w:proofErr w:type="gramStart"/>
            <w:r>
              <w:rPr>
                <w:lang w:val="es-ES"/>
              </w:rPr>
              <w:t>del mismo</w:t>
            </w:r>
            <w:proofErr w:type="gramEnd"/>
            <w:r w:rsidRPr="00E53971">
              <w:rPr>
                <w:lang w:val="es-ES"/>
              </w:rPr>
              <w:t xml:space="preserve">, tal y como </w:t>
            </w:r>
            <w:r>
              <w:rPr>
                <w:lang w:val="es-ES"/>
              </w:rPr>
              <w:t>este</w:t>
            </w:r>
            <w:r w:rsidRPr="00E53971">
              <w:rPr>
                <w:lang w:val="es-ES"/>
              </w:rPr>
              <w:t xml:space="preserve"> sea modificado, extendido, ratificado y/o complementado en cada momento, será referido como el</w:t>
            </w:r>
            <w:r>
              <w:rPr>
                <w:lang w:val="es-ES"/>
              </w:rPr>
              <w:t xml:space="preserve"> </w:t>
            </w:r>
            <w:r>
              <w:rPr>
                <w:b/>
                <w:lang w:val="es" w:eastAsia="es-ES"/>
              </w:rPr>
              <w:t>CPA</w:t>
            </w:r>
            <w:r>
              <w:rPr>
                <w:i/>
                <w:lang w:val="es-ES"/>
              </w:rPr>
              <w:t>.</w:t>
            </w:r>
          </w:p>
        </w:tc>
        <w:tc>
          <w:tcPr>
            <w:tcW w:w="2500" w:type="pct"/>
            <w:shd w:val="clear" w:color="auto" w:fill="auto"/>
          </w:tcPr>
          <w:p w14:paraId="41F10DC6" w14:textId="2583468F" w:rsidR="000D089E" w:rsidRPr="00143298" w:rsidRDefault="000D089E" w:rsidP="000D089E">
            <w:pPr>
              <w:pStyle w:val="AODocTxt"/>
              <w:numPr>
                <w:ilvl w:val="0"/>
                <w:numId w:val="39"/>
              </w:numPr>
              <w:ind w:hanging="720"/>
            </w:pPr>
            <w:r w:rsidRPr="00647C7A">
              <w:t xml:space="preserve">That, </w:t>
            </w:r>
            <w:r w:rsidRPr="00901F23">
              <w:t xml:space="preserve">on </w:t>
            </w:r>
            <w:r w:rsidRPr="00E629BD">
              <w:t>15 June 2019</w:t>
            </w:r>
            <w:r w:rsidRPr="00647C7A">
              <w:t xml:space="preserve">, an </w:t>
            </w:r>
            <w:r w:rsidRPr="00B9179C">
              <w:t xml:space="preserve">English law </w:t>
            </w:r>
            <w:r>
              <w:rPr>
                <w:lang w:eastAsia="es-ES"/>
              </w:rPr>
              <w:t>conditions precedent agreement</w:t>
            </w:r>
            <w:r w:rsidRPr="00B9179C">
              <w:rPr>
                <w:lang w:eastAsia="en-GB" w:bidi="en-GB"/>
              </w:rPr>
              <w:t xml:space="preserve"> </w:t>
            </w:r>
            <w:r w:rsidRPr="00B9179C">
              <w:t xml:space="preserve">was entered into between, among others, ING as Security Trustee, Beacon Finco </w:t>
            </w:r>
            <w:proofErr w:type="spellStart"/>
            <w:r w:rsidRPr="00B9179C">
              <w:t>S.à</w:t>
            </w:r>
            <w:proofErr w:type="spellEnd"/>
            <w:r w:rsidRPr="00B9179C">
              <w:t xml:space="preserve"> </w:t>
            </w:r>
            <w:proofErr w:type="spellStart"/>
            <w:r w:rsidRPr="00B9179C">
              <w:t>r.l</w:t>
            </w:r>
            <w:proofErr w:type="spellEnd"/>
            <w:r w:rsidRPr="00B9179C">
              <w:t>.</w:t>
            </w:r>
            <w:r w:rsidRPr="00B9179C">
              <w:rPr>
                <w:b/>
              </w:rPr>
              <w:t xml:space="preserve"> </w:t>
            </w:r>
            <w:r w:rsidRPr="00B9179C">
              <w:t xml:space="preserve">as Issuer, Beacon Rail Leasing </w:t>
            </w:r>
            <w:proofErr w:type="spellStart"/>
            <w:r w:rsidRPr="00B9179C">
              <w:t>S.à</w:t>
            </w:r>
            <w:proofErr w:type="spellEnd"/>
            <w:r w:rsidRPr="00B9179C">
              <w:t xml:space="preserve"> </w:t>
            </w:r>
            <w:proofErr w:type="spellStart"/>
            <w:r w:rsidRPr="00B9179C">
              <w:t>r.l</w:t>
            </w:r>
            <w:proofErr w:type="spellEnd"/>
            <w:r w:rsidRPr="00B9179C">
              <w:t xml:space="preserve">. as Security Group Agent, Beacon Rail Lux Holdings </w:t>
            </w:r>
            <w:proofErr w:type="spellStart"/>
            <w:r w:rsidRPr="00B9179C">
              <w:t>S.à</w:t>
            </w:r>
            <w:proofErr w:type="spellEnd"/>
            <w:r w:rsidRPr="00B9179C">
              <w:t xml:space="preserve"> </w:t>
            </w:r>
            <w:proofErr w:type="spellStart"/>
            <w:r w:rsidRPr="00B9179C">
              <w:t>r.l</w:t>
            </w:r>
            <w:proofErr w:type="spellEnd"/>
            <w:r w:rsidRPr="00B9179C">
              <w:t xml:space="preserve">. as Shareholder and </w:t>
            </w:r>
            <w:r w:rsidRPr="00544005">
              <w:t>BRL</w:t>
            </w:r>
            <w:r w:rsidRPr="00B9179C">
              <w:t xml:space="preserve"> </w:t>
            </w:r>
            <w:proofErr w:type="spellStart"/>
            <w:r w:rsidRPr="00B9179C">
              <w:t>S.à</w:t>
            </w:r>
            <w:proofErr w:type="spellEnd"/>
            <w:r w:rsidRPr="00B9179C">
              <w:t xml:space="preserve"> </w:t>
            </w:r>
            <w:proofErr w:type="spellStart"/>
            <w:r w:rsidRPr="00B9179C">
              <w:t>r.l</w:t>
            </w:r>
            <w:proofErr w:type="spellEnd"/>
            <w:r w:rsidRPr="00B9179C">
              <w:t xml:space="preserve">. Hereinafter, the </w:t>
            </w:r>
            <w:r>
              <w:rPr>
                <w:lang w:eastAsia="es-ES"/>
              </w:rPr>
              <w:t>conditions precedent agreement</w:t>
            </w:r>
            <w:r w:rsidRPr="00B9179C">
              <w:t>, together with</w:t>
            </w:r>
            <w:r>
              <w:t xml:space="preserve"> any other documents granted under and pursuant to it, </w:t>
            </w:r>
            <w:r w:rsidRPr="00901F23">
              <w:t xml:space="preserve">as it may be amended, extended, ratified and/or </w:t>
            </w:r>
            <w:r>
              <w:t xml:space="preserve">supplemented from time to time, </w:t>
            </w:r>
            <w:r w:rsidRPr="00901F23">
              <w:t xml:space="preserve">shall be referred to as </w:t>
            </w:r>
            <w:r w:rsidRPr="000A7D7B">
              <w:t xml:space="preserve">the </w:t>
            </w:r>
            <w:r>
              <w:rPr>
                <w:b/>
                <w:lang w:eastAsia="es-ES"/>
              </w:rPr>
              <w:t>CPA</w:t>
            </w:r>
            <w:r w:rsidRPr="00901F23">
              <w:t>.</w:t>
            </w:r>
          </w:p>
        </w:tc>
      </w:tr>
      <w:tr w:rsidR="000D089E" w:rsidRPr="0024367D" w14:paraId="2D7D1FE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9595BB0" w14:textId="77777777" w:rsidR="000D089E" w:rsidRPr="0024367D" w:rsidRDefault="000D089E" w:rsidP="000D089E">
            <w:pPr>
              <w:pStyle w:val="AODocTxtL1"/>
              <w:rPr>
                <w:lang w:val="es-ES"/>
              </w:rPr>
            </w:pPr>
            <w:r w:rsidRPr="00E53971">
              <w:rPr>
                <w:lang w:val="es-ES"/>
              </w:rPr>
              <w:t xml:space="preserve">El </w:t>
            </w:r>
            <w:r>
              <w:rPr>
                <w:lang w:val="es-ES"/>
              </w:rPr>
              <w:t>CPA</w:t>
            </w:r>
            <w:r w:rsidRPr="00E53971">
              <w:rPr>
                <w:lang w:val="es-ES"/>
              </w:rPr>
              <w:t xml:space="preserve"> </w:t>
            </w:r>
            <w:r>
              <w:rPr>
                <w:lang w:val="es-ES"/>
              </w:rPr>
              <w:t xml:space="preserve">fue elevado a público el 22 de abril de 2021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de Madrid, D. Antonio Luis Reina Gutiérrez.</w:t>
            </w:r>
            <w:r w:rsidRPr="00923375">
              <w:rPr>
                <w:b/>
                <w:i/>
                <w:lang w:val="es-ES"/>
              </w:rPr>
              <w:t xml:space="preserve"> </w:t>
            </w:r>
          </w:p>
        </w:tc>
        <w:tc>
          <w:tcPr>
            <w:tcW w:w="2500" w:type="pct"/>
            <w:shd w:val="clear" w:color="auto" w:fill="auto"/>
          </w:tcPr>
          <w:p w14:paraId="341F3D3D" w14:textId="77777777" w:rsidR="000D089E" w:rsidRPr="0024367D" w:rsidRDefault="000D089E" w:rsidP="000D089E">
            <w:pPr>
              <w:pStyle w:val="AODocTxtL1"/>
            </w:pPr>
            <w:r>
              <w:t>The CPA</w:t>
            </w:r>
            <w:r w:rsidRPr="00901F23">
              <w:t xml:space="preserve"> </w:t>
            </w:r>
            <w:r>
              <w:t>was</w:t>
            </w:r>
            <w:r w:rsidRPr="00901F23">
              <w:t xml:space="preserve"> raised to the status of public document</w:t>
            </w:r>
            <w:r>
              <w:t xml:space="preserve"> on</w:t>
            </w:r>
            <w:r w:rsidRPr="00901F23">
              <w:t xml:space="preserve"> </w:t>
            </w:r>
            <w:r>
              <w:t xml:space="preserve">22 April 2021 </w:t>
            </w:r>
            <w:r w:rsidRPr="00901F23">
              <w:t>by means of a deed</w:t>
            </w:r>
            <w:r>
              <w:t xml:space="preserve"> intervened by</w:t>
            </w:r>
            <w:r w:rsidRPr="00973006">
              <w:t xml:space="preserve"> the </w:t>
            </w:r>
            <w:r>
              <w:t>Notary of Madrid, Mr. Antonio-Luis Reina Gutierrez.</w:t>
            </w:r>
            <w:r w:rsidRPr="00923375">
              <w:rPr>
                <w:b/>
                <w:i/>
              </w:rPr>
              <w:t xml:space="preserve"> </w:t>
            </w:r>
          </w:p>
        </w:tc>
      </w:tr>
      <w:tr w:rsidR="000D089E" w:rsidRPr="00422629" w14:paraId="6BC53B5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43CE8F5" w14:textId="256D3D9E" w:rsidR="000D089E" w:rsidRPr="00407F45" w:rsidRDefault="000D089E" w:rsidP="000D089E">
            <w:pPr>
              <w:pStyle w:val="AOA"/>
              <w:rPr>
                <w:lang w:val="es" w:eastAsia="es-ES"/>
              </w:rPr>
            </w:pPr>
            <w:r w:rsidRPr="00E53971">
              <w:rPr>
                <w:lang w:val="es-ES"/>
              </w:rPr>
              <w:t xml:space="preserve">Que con fecha </w:t>
            </w:r>
            <w:r>
              <w:rPr>
                <w:lang w:val="es-ES"/>
              </w:rPr>
              <w:t>15 de junio de 2019</w:t>
            </w:r>
            <w:r w:rsidRPr="00E53971">
              <w:rPr>
                <w:lang w:val="es-ES"/>
              </w:rPr>
              <w:t xml:space="preserve">, </w:t>
            </w:r>
            <w:r w:rsidRPr="0024367D">
              <w:rPr>
                <w:lang w:val="es-ES"/>
              </w:rPr>
              <w:t>se suscribió un</w:t>
            </w:r>
            <w:r>
              <w:rPr>
                <w:lang w:val="es-ES"/>
              </w:rPr>
              <w:t xml:space="preserve"> </w:t>
            </w:r>
            <w:r>
              <w:rPr>
                <w:lang w:val="es" w:eastAsia="es-ES"/>
              </w:rPr>
              <w:t xml:space="preserve">contrato entre acreedores </w:t>
            </w:r>
            <w:r w:rsidRPr="00AE2736">
              <w:rPr>
                <w:lang w:val="es" w:eastAsia="es-ES"/>
              </w:rPr>
              <w:t>denominado en inglés</w:t>
            </w:r>
            <w:r>
              <w:rPr>
                <w:lang w:val="es" w:eastAsia="es-ES"/>
              </w:rPr>
              <w:t xml:space="preserve"> </w:t>
            </w:r>
            <w:r w:rsidRPr="00AE2736">
              <w:rPr>
                <w:lang w:val="es" w:eastAsia="es-ES"/>
              </w:rPr>
              <w:t>“</w:t>
            </w:r>
            <w:r w:rsidRPr="003C5A0B">
              <w:rPr>
                <w:i/>
                <w:lang w:val="es" w:eastAsia="es-ES"/>
              </w:rPr>
              <w:t xml:space="preserve">Security Trust and </w:t>
            </w:r>
            <w:proofErr w:type="spellStart"/>
            <w:r w:rsidRPr="003C5A0B">
              <w:rPr>
                <w:i/>
                <w:lang w:val="es" w:eastAsia="es-ES"/>
              </w:rPr>
              <w:t>Intercreditor</w:t>
            </w:r>
            <w:proofErr w:type="spellEnd"/>
            <w:r w:rsidRPr="003C5A0B">
              <w:rPr>
                <w:i/>
                <w:lang w:val="es" w:eastAsia="es-ES"/>
              </w:rPr>
              <w:t xml:space="preserve"> </w:t>
            </w:r>
            <w:proofErr w:type="spellStart"/>
            <w:r w:rsidRPr="003C5A0B">
              <w:rPr>
                <w:i/>
                <w:lang w:val="es" w:eastAsia="es-ES"/>
              </w:rPr>
              <w:t>Deed</w:t>
            </w:r>
            <w:proofErr w:type="spellEnd"/>
            <w:r w:rsidRPr="00AE2736">
              <w:rPr>
                <w:lang w:val="es" w:eastAsia="es-ES"/>
              </w:rPr>
              <w:t>”</w:t>
            </w:r>
            <w:r>
              <w:rPr>
                <w:lang w:val="es" w:eastAsia="es-ES"/>
              </w:rPr>
              <w:t xml:space="preserve"> </w:t>
            </w:r>
            <w:r w:rsidRPr="00AE2736">
              <w:rPr>
                <w:lang w:val="es" w:eastAsia="es-ES"/>
              </w:rPr>
              <w:t>en relación con los documentos generales (</w:t>
            </w:r>
            <w:proofErr w:type="spellStart"/>
            <w:r w:rsidRPr="003C5A0B">
              <w:rPr>
                <w:i/>
                <w:lang w:val="es" w:eastAsia="es-ES"/>
              </w:rPr>
              <w:t>Common</w:t>
            </w:r>
            <w:proofErr w:type="spellEnd"/>
            <w:r w:rsidRPr="003C5A0B">
              <w:rPr>
                <w:i/>
                <w:lang w:val="es" w:eastAsia="es-ES"/>
              </w:rPr>
              <w:t xml:space="preserve"> </w:t>
            </w:r>
            <w:proofErr w:type="spellStart"/>
            <w:r w:rsidRPr="003C5A0B">
              <w:rPr>
                <w:i/>
                <w:lang w:val="es" w:eastAsia="es-ES"/>
              </w:rPr>
              <w:t>Documents</w:t>
            </w:r>
            <w:proofErr w:type="spellEnd"/>
            <w:r w:rsidRPr="00AE2736">
              <w:rPr>
                <w:lang w:val="es" w:eastAsia="es-ES"/>
              </w:rPr>
              <w:t>) (tal y como este término se define en el Contrato Marco de Definiciones)</w:t>
            </w:r>
            <w:r>
              <w:rPr>
                <w:lang w:val="es" w:eastAsia="es-ES"/>
              </w:rPr>
              <w:t xml:space="preserve">, </w:t>
            </w:r>
            <w:r w:rsidRPr="0024367D">
              <w:rPr>
                <w:lang w:val="es-ES"/>
              </w:rPr>
              <w:t>sujeto a ley inglesa,</w:t>
            </w:r>
            <w:r>
              <w:rPr>
                <w:lang w:val="es-ES"/>
              </w:rPr>
              <w:t xml:space="preserve"> </w:t>
            </w:r>
            <w:r w:rsidRPr="0024367D">
              <w:rPr>
                <w:lang w:val="es-ES"/>
              </w:rPr>
              <w:t xml:space="preserve">por, entre otros, ING </w:t>
            </w:r>
            <w:r>
              <w:rPr>
                <w:lang w:val="es-ES"/>
              </w:rPr>
              <w:t xml:space="preserve">como agente de garantías </w:t>
            </w:r>
            <w:r w:rsidRPr="008F1897">
              <w:rPr>
                <w:i/>
                <w:lang w:val="es-ES"/>
              </w:rPr>
              <w:t>(Security Trustee)</w:t>
            </w:r>
            <w:r>
              <w:rPr>
                <w:b/>
                <w:lang w:val="es-ES"/>
              </w:rPr>
              <w:t xml:space="preserve">, </w:t>
            </w:r>
            <w:r w:rsidRPr="008F1897">
              <w:rPr>
                <w:lang w:val="es-ES"/>
              </w:rPr>
              <w:t xml:space="preserve">Beacon Finco </w:t>
            </w:r>
            <w:proofErr w:type="spellStart"/>
            <w:r w:rsidRPr="008F1897">
              <w:rPr>
                <w:lang w:val="es-ES"/>
              </w:rPr>
              <w:t>S.à</w:t>
            </w:r>
            <w:proofErr w:type="spellEnd"/>
            <w:r w:rsidRPr="008F1897">
              <w:rPr>
                <w:lang w:val="es-ES"/>
              </w:rPr>
              <w:t xml:space="preserve"> </w:t>
            </w:r>
            <w:proofErr w:type="spellStart"/>
            <w:r w:rsidRPr="008F1897">
              <w:rPr>
                <w:lang w:val="es-ES"/>
              </w:rPr>
              <w:t>r.l</w:t>
            </w:r>
            <w:proofErr w:type="spellEnd"/>
            <w:r w:rsidRPr="008F1897">
              <w:rPr>
                <w:lang w:val="es-ES"/>
              </w:rPr>
              <w:t>.</w:t>
            </w:r>
            <w:r>
              <w:rPr>
                <w:b/>
                <w:lang w:val="es-ES"/>
              </w:rPr>
              <w:t xml:space="preserve"> </w:t>
            </w:r>
            <w:r w:rsidRPr="0024367D">
              <w:rPr>
                <w:lang w:val="es-ES"/>
              </w:rPr>
              <w:t>como emisor (</w:t>
            </w:r>
            <w:proofErr w:type="spellStart"/>
            <w:r w:rsidRPr="0024367D">
              <w:rPr>
                <w:i/>
                <w:lang w:val="es-ES"/>
              </w:rPr>
              <w:t>Issuer</w:t>
            </w:r>
            <w:proofErr w:type="spellEnd"/>
            <w:r w:rsidRPr="0024367D">
              <w:rPr>
                <w:lang w:val="es-ES"/>
              </w:rPr>
              <w:t>)</w:t>
            </w:r>
            <w:r>
              <w:rPr>
                <w:lang w:val="es-ES"/>
              </w:rPr>
              <w:t xml:space="preserve"> y prestamista intragrupo </w:t>
            </w:r>
            <w:r w:rsidRPr="008F1897">
              <w:rPr>
                <w:i/>
                <w:lang w:val="es-ES"/>
              </w:rPr>
              <w:t xml:space="preserve">(Intra- </w:t>
            </w:r>
            <w:proofErr w:type="spellStart"/>
            <w:r w:rsidRPr="008F1897">
              <w:rPr>
                <w:i/>
                <w:lang w:val="es-ES"/>
              </w:rPr>
              <w:t>Group</w:t>
            </w:r>
            <w:proofErr w:type="spellEnd"/>
            <w:r w:rsidRPr="008F1897">
              <w:rPr>
                <w:i/>
                <w:lang w:val="es-ES"/>
              </w:rPr>
              <w:t xml:space="preserve"> </w:t>
            </w:r>
            <w:proofErr w:type="spellStart"/>
            <w:r w:rsidRPr="008F1897">
              <w:rPr>
                <w:i/>
                <w:lang w:val="es-ES"/>
              </w:rPr>
              <w:t>Lender</w:t>
            </w:r>
            <w:proofErr w:type="spellEnd"/>
            <w:r w:rsidRPr="008F1897">
              <w:rPr>
                <w:i/>
                <w:lang w:val="es-ES"/>
              </w:rPr>
              <w:t>)</w:t>
            </w:r>
            <w:r w:rsidRPr="0024367D">
              <w:rPr>
                <w:lang w:val="es-ES"/>
              </w:rPr>
              <w:t>,</w:t>
            </w:r>
            <w:r>
              <w:rPr>
                <w:lang w:val="es-ES"/>
              </w:rPr>
              <w:t xml:space="preserve"> Beacon </w:t>
            </w:r>
            <w:r>
              <w:rPr>
                <w:lang w:val="es-ES"/>
              </w:rPr>
              <w:lastRenderedPageBreak/>
              <w:t xml:space="preserve">Rail Finance (Europe) </w:t>
            </w:r>
            <w:proofErr w:type="spellStart"/>
            <w:r>
              <w:rPr>
                <w:lang w:val="es-ES"/>
              </w:rPr>
              <w:t>Limited</w:t>
            </w:r>
            <w:proofErr w:type="spellEnd"/>
            <w:r>
              <w:rPr>
                <w:lang w:val="es-ES"/>
              </w:rPr>
              <w:t xml:space="preserve">, Beacon Rail Finance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24367D">
              <w:rPr>
                <w:lang w:val="es-ES"/>
              </w:rPr>
              <w:t xml:space="preserve">Beacon Rail Leasing </w:t>
            </w:r>
            <w:proofErr w:type="spellStart"/>
            <w:r w:rsidRPr="0024367D">
              <w:rPr>
                <w:lang w:val="es-ES"/>
              </w:rPr>
              <w:t>S.à</w:t>
            </w:r>
            <w:proofErr w:type="spellEnd"/>
            <w:r w:rsidRPr="0024367D">
              <w:rPr>
                <w:lang w:val="es-ES"/>
              </w:rPr>
              <w:t xml:space="preserve"> </w:t>
            </w:r>
            <w:proofErr w:type="spellStart"/>
            <w:r w:rsidRPr="0024367D">
              <w:rPr>
                <w:lang w:val="es-ES"/>
              </w:rPr>
              <w:t>r.l</w:t>
            </w:r>
            <w:proofErr w:type="spellEnd"/>
            <w:r w:rsidRPr="0024367D">
              <w:rPr>
                <w:lang w:val="es-ES"/>
              </w:rPr>
              <w:t>. como agente de garantías del grupo (</w:t>
            </w:r>
            <w:r w:rsidRPr="0024367D">
              <w:rPr>
                <w:i/>
                <w:lang w:val="es-ES"/>
              </w:rPr>
              <w:t xml:space="preserve">Security </w:t>
            </w:r>
            <w:proofErr w:type="spellStart"/>
            <w:r w:rsidRPr="0024367D">
              <w:rPr>
                <w:i/>
                <w:lang w:val="es-ES"/>
              </w:rPr>
              <w:t>Group</w:t>
            </w:r>
            <w:proofErr w:type="spellEnd"/>
            <w:r w:rsidRPr="0024367D">
              <w:rPr>
                <w:i/>
                <w:lang w:val="es-ES"/>
              </w:rPr>
              <w:t xml:space="preserve"> </w:t>
            </w:r>
            <w:proofErr w:type="spellStart"/>
            <w:r w:rsidRPr="0024367D">
              <w:rPr>
                <w:i/>
                <w:lang w:val="es-ES"/>
              </w:rPr>
              <w:t>Agent</w:t>
            </w:r>
            <w:proofErr w:type="spellEnd"/>
            <w:r w:rsidRPr="0024367D">
              <w:rPr>
                <w:lang w:val="es-ES"/>
              </w:rPr>
              <w:t>)</w:t>
            </w:r>
            <w:r>
              <w:rPr>
                <w:lang w:val="es-ES"/>
              </w:rPr>
              <w:t xml:space="preserve"> y responsable de tesorería </w:t>
            </w:r>
            <w:r w:rsidRPr="00234E18">
              <w:rPr>
                <w:i/>
                <w:lang w:val="es-ES"/>
              </w:rPr>
              <w:t>(Cash Manager)</w:t>
            </w:r>
            <w:r>
              <w:rPr>
                <w:lang w:val="es-ES"/>
              </w:rPr>
              <w:t xml:space="preserve">, Beacon Rail Lux Holdings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como accionista </w:t>
            </w:r>
            <w:r w:rsidRPr="00234E18">
              <w:rPr>
                <w:i/>
                <w:lang w:val="es-ES"/>
              </w:rPr>
              <w:t>(</w:t>
            </w:r>
            <w:proofErr w:type="spellStart"/>
            <w:r w:rsidRPr="00234E18">
              <w:rPr>
                <w:i/>
                <w:lang w:val="es-ES"/>
              </w:rPr>
              <w:t>Shareholder</w:t>
            </w:r>
            <w:proofErr w:type="spellEnd"/>
            <w:r w:rsidRPr="00234E18">
              <w:rPr>
                <w:i/>
                <w:lang w:val="es-ES"/>
              </w:rPr>
              <w:t>)</w:t>
            </w:r>
            <w:r>
              <w:rPr>
                <w:lang w:val="es-ES"/>
              </w:rPr>
              <w:t xml:space="preserve">, BRL </w:t>
            </w:r>
            <w:proofErr w:type="spellStart"/>
            <w:r>
              <w:rPr>
                <w:lang w:val="es-ES"/>
              </w:rPr>
              <w:t>S.à</w:t>
            </w:r>
            <w:proofErr w:type="spellEnd"/>
            <w:r>
              <w:rPr>
                <w:lang w:val="es-ES"/>
              </w:rPr>
              <w:t xml:space="preserve"> </w:t>
            </w:r>
            <w:proofErr w:type="spellStart"/>
            <w:r>
              <w:rPr>
                <w:lang w:val="es-ES"/>
              </w:rPr>
              <w:t>r.l</w:t>
            </w:r>
            <w:proofErr w:type="spellEnd"/>
            <w:r>
              <w:rPr>
                <w:lang w:val="es-ES"/>
              </w:rPr>
              <w:t xml:space="preserve">. </w:t>
            </w:r>
            <w:r w:rsidRPr="00E53971">
              <w:rPr>
                <w:lang w:val="es-ES"/>
              </w:rPr>
              <w:t xml:space="preserve">En adelante, el </w:t>
            </w:r>
            <w:r>
              <w:rPr>
                <w:lang w:val="es" w:eastAsia="es-ES"/>
              </w:rPr>
              <w:t>contrato entre acreedores</w:t>
            </w:r>
            <w:r>
              <w:rPr>
                <w:lang w:val="es-ES"/>
              </w:rPr>
              <w:t xml:space="preserve">, junto con cualesquiera documentos que se hubiesen suscrito al amparo </w:t>
            </w:r>
            <w:proofErr w:type="gramStart"/>
            <w:r>
              <w:rPr>
                <w:lang w:val="es-ES"/>
              </w:rPr>
              <w:t>del mismo</w:t>
            </w:r>
            <w:proofErr w:type="gramEnd"/>
            <w:r w:rsidRPr="00E53971">
              <w:rPr>
                <w:lang w:val="es-ES"/>
              </w:rPr>
              <w:t xml:space="preserve">, tal y como </w:t>
            </w:r>
            <w:r>
              <w:rPr>
                <w:lang w:val="es-ES"/>
              </w:rPr>
              <w:t>este</w:t>
            </w:r>
            <w:r w:rsidRPr="00E53971">
              <w:rPr>
                <w:lang w:val="es-ES"/>
              </w:rPr>
              <w:t xml:space="preserve"> sea modificado, extendido, ratificado y/o complementado en cada momento, será referido como el</w:t>
            </w:r>
            <w:r>
              <w:rPr>
                <w:lang w:val="es-ES"/>
              </w:rPr>
              <w:t xml:space="preserve"> </w:t>
            </w:r>
            <w:r>
              <w:rPr>
                <w:b/>
                <w:lang w:val="es-ES" w:eastAsia="es-ES"/>
              </w:rPr>
              <w:t>Contrato entre Acreedores</w:t>
            </w:r>
            <w:r>
              <w:rPr>
                <w:i/>
                <w:lang w:val="es-ES"/>
              </w:rPr>
              <w:t>.</w:t>
            </w:r>
          </w:p>
        </w:tc>
        <w:tc>
          <w:tcPr>
            <w:tcW w:w="2500" w:type="pct"/>
            <w:shd w:val="clear" w:color="auto" w:fill="auto"/>
          </w:tcPr>
          <w:p w14:paraId="1FC1E043" w14:textId="6CF11FD3" w:rsidR="000D089E" w:rsidRPr="00422629" w:rsidRDefault="000D089E" w:rsidP="000D089E">
            <w:pPr>
              <w:pStyle w:val="AODocTxt"/>
              <w:numPr>
                <w:ilvl w:val="0"/>
                <w:numId w:val="39"/>
              </w:numPr>
              <w:ind w:hanging="720"/>
            </w:pPr>
            <w:r w:rsidRPr="0024367D">
              <w:lastRenderedPageBreak/>
              <w:t xml:space="preserve">That, </w:t>
            </w:r>
            <w:r w:rsidRPr="00901F23">
              <w:t xml:space="preserve">on </w:t>
            </w:r>
            <w:r>
              <w:t>15 June 2019</w:t>
            </w:r>
            <w:r w:rsidRPr="0024367D">
              <w:t xml:space="preserve">, </w:t>
            </w:r>
            <w:r w:rsidRPr="00647C7A">
              <w:t xml:space="preserve">an English law </w:t>
            </w:r>
            <w:r>
              <w:t>security trust and intercreditor deed was</w:t>
            </w:r>
            <w:r w:rsidRPr="00901F23">
              <w:t xml:space="preserve"> entered into</w:t>
            </w:r>
            <w:r>
              <w:t xml:space="preserve"> in relation to the Common Documents (as this term is defined in the MDA) </w:t>
            </w:r>
            <w:r w:rsidRPr="00901F23">
              <w:t>between,</w:t>
            </w:r>
            <w:r>
              <w:t xml:space="preserve"> among others,</w:t>
            </w:r>
            <w:r w:rsidRPr="00901F23">
              <w:t xml:space="preserve"> </w:t>
            </w:r>
            <w:r>
              <w:t xml:space="preserve">ING as </w:t>
            </w:r>
            <w:r w:rsidRPr="00407F45">
              <w:t xml:space="preserve">Security Trustee, Beacon Finco </w:t>
            </w:r>
            <w:proofErr w:type="spellStart"/>
            <w:r w:rsidRPr="00407F45">
              <w:t>S.à</w:t>
            </w:r>
            <w:proofErr w:type="spellEnd"/>
            <w:r w:rsidRPr="00407F45">
              <w:t xml:space="preserve"> </w:t>
            </w:r>
            <w:proofErr w:type="spellStart"/>
            <w:r w:rsidRPr="00407F45">
              <w:t>r.l</w:t>
            </w:r>
            <w:proofErr w:type="spellEnd"/>
            <w:r w:rsidRPr="00407F45">
              <w:t xml:space="preserve">. as the Issuer and Intra- Group Lender, Beacon Rail Finance (Europe) Limited, Beacon Rail Finance </w:t>
            </w:r>
            <w:proofErr w:type="spellStart"/>
            <w:r w:rsidRPr="00407F45">
              <w:t>S.à</w:t>
            </w:r>
            <w:proofErr w:type="spellEnd"/>
            <w:r w:rsidRPr="00407F45">
              <w:t xml:space="preserve"> </w:t>
            </w:r>
            <w:proofErr w:type="spellStart"/>
            <w:r w:rsidRPr="00407F45">
              <w:t>r.l</w:t>
            </w:r>
            <w:proofErr w:type="spellEnd"/>
            <w:r w:rsidRPr="00407F45">
              <w:t xml:space="preserve">., Beacon Rail Leasing </w:t>
            </w:r>
            <w:proofErr w:type="spellStart"/>
            <w:r w:rsidRPr="00407F45">
              <w:t>S.à</w:t>
            </w:r>
            <w:proofErr w:type="spellEnd"/>
            <w:r w:rsidRPr="00407F45">
              <w:t xml:space="preserve"> </w:t>
            </w:r>
            <w:proofErr w:type="spellStart"/>
            <w:r w:rsidRPr="00407F45">
              <w:t>r.l</w:t>
            </w:r>
            <w:proofErr w:type="spellEnd"/>
            <w:r w:rsidRPr="00407F45">
              <w:t xml:space="preserve">. as Security Group Agent and Cash Manager, Beacon Rail Lux Holdings </w:t>
            </w:r>
            <w:proofErr w:type="spellStart"/>
            <w:r w:rsidRPr="00407F45">
              <w:t>S.à</w:t>
            </w:r>
            <w:proofErr w:type="spellEnd"/>
            <w:r w:rsidRPr="00407F45">
              <w:t xml:space="preserve"> </w:t>
            </w:r>
            <w:proofErr w:type="spellStart"/>
            <w:r w:rsidRPr="00407F45">
              <w:t>r.l</w:t>
            </w:r>
            <w:proofErr w:type="spellEnd"/>
            <w:r w:rsidRPr="00407F45">
              <w:t xml:space="preserve">. as Shareholder and </w:t>
            </w:r>
            <w:r w:rsidRPr="00105FF4">
              <w:t xml:space="preserve">BRL </w:t>
            </w:r>
            <w:proofErr w:type="spellStart"/>
            <w:r w:rsidRPr="00407F45">
              <w:t>S.à</w:t>
            </w:r>
            <w:proofErr w:type="spellEnd"/>
            <w:r w:rsidRPr="00407F45">
              <w:t xml:space="preserve"> </w:t>
            </w:r>
            <w:proofErr w:type="spellStart"/>
            <w:r w:rsidRPr="00407F45">
              <w:t>r.l</w:t>
            </w:r>
            <w:proofErr w:type="spellEnd"/>
            <w:r w:rsidRPr="00407F45">
              <w:t xml:space="preserve">. Hereinafter, </w:t>
            </w:r>
            <w:r w:rsidRPr="00407F45">
              <w:lastRenderedPageBreak/>
              <w:t xml:space="preserve">the </w:t>
            </w:r>
            <w:r>
              <w:t>security trust and intercreditor deed</w:t>
            </w:r>
            <w:r w:rsidRPr="00407F45">
              <w:t>, together with any other documents</w:t>
            </w:r>
            <w:r>
              <w:t xml:space="preserve"> granted under and pursuant to it, </w:t>
            </w:r>
            <w:r w:rsidRPr="00901F23">
              <w:t xml:space="preserve">as it may be amended, extended, ratified and/or </w:t>
            </w:r>
            <w:r>
              <w:t xml:space="preserve">supplemented from time to time, </w:t>
            </w:r>
            <w:r w:rsidRPr="00901F23">
              <w:t xml:space="preserve">shall be referred to as </w:t>
            </w:r>
            <w:r w:rsidRPr="000A7D7B">
              <w:t xml:space="preserve">the </w:t>
            </w:r>
            <w:r>
              <w:rPr>
                <w:b/>
              </w:rPr>
              <w:t>STID</w:t>
            </w:r>
            <w:r w:rsidRPr="00901F23">
              <w:t>.</w:t>
            </w:r>
          </w:p>
        </w:tc>
      </w:tr>
      <w:tr w:rsidR="000D089E" w:rsidRPr="00407F45" w14:paraId="6308889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88239A6" w14:textId="77777777" w:rsidR="000D089E" w:rsidRPr="00407F45" w:rsidRDefault="000D089E" w:rsidP="000D089E">
            <w:pPr>
              <w:pStyle w:val="AODocTxtL1"/>
              <w:rPr>
                <w:lang w:val="es-ES"/>
              </w:rPr>
            </w:pPr>
            <w:r w:rsidRPr="00407F45">
              <w:rPr>
                <w:lang w:val="es-ES"/>
              </w:rPr>
              <w:lastRenderedPageBreak/>
              <w:t xml:space="preserve">El </w:t>
            </w:r>
            <w:r w:rsidRPr="00407F45">
              <w:rPr>
                <w:lang w:val="es" w:eastAsia="es-ES"/>
              </w:rPr>
              <w:t>Contrato entre Acreedores</w:t>
            </w:r>
            <w:r>
              <w:rPr>
                <w:lang w:val="es-ES"/>
              </w:rPr>
              <w:t xml:space="preserve"> fue</w:t>
            </w:r>
            <w:r w:rsidRPr="00407F45">
              <w:rPr>
                <w:lang w:val="es-ES"/>
              </w:rPr>
              <w:t xml:space="preserve"> elevado a público e</w:t>
            </w:r>
            <w:r>
              <w:rPr>
                <w:lang w:val="es-ES"/>
              </w:rPr>
              <w:t>l</w:t>
            </w:r>
            <w:r w:rsidRPr="00407F45">
              <w:rPr>
                <w:lang w:val="es-ES"/>
              </w:rPr>
              <w:t xml:space="preserve"> </w:t>
            </w:r>
            <w:r>
              <w:rPr>
                <w:lang w:val="es-ES"/>
              </w:rPr>
              <w:t>22 de abril de 2021</w:t>
            </w:r>
            <w:r w:rsidRPr="00407F45">
              <w:rPr>
                <w:lang w:val="es-ES"/>
              </w:rPr>
              <w:t xml:space="preserve">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el Notario </w:t>
            </w:r>
            <w:r>
              <w:rPr>
                <w:lang w:val="es-ES"/>
              </w:rPr>
              <w:t>de Madrid, D. Antonio Luis Reina Gutiérrez.</w:t>
            </w:r>
            <w:r w:rsidRPr="00923375">
              <w:rPr>
                <w:b/>
                <w:i/>
                <w:lang w:val="es-ES"/>
              </w:rPr>
              <w:t xml:space="preserve"> </w:t>
            </w:r>
          </w:p>
        </w:tc>
        <w:tc>
          <w:tcPr>
            <w:tcW w:w="2500" w:type="pct"/>
            <w:shd w:val="clear" w:color="auto" w:fill="auto"/>
          </w:tcPr>
          <w:p w14:paraId="06EA3BE6" w14:textId="77777777" w:rsidR="000D089E" w:rsidRPr="00407F45" w:rsidRDefault="000D089E" w:rsidP="000D089E">
            <w:pPr>
              <w:pStyle w:val="AODocTxtL1"/>
            </w:pPr>
            <w:r w:rsidRPr="00407F45">
              <w:t xml:space="preserve">The </w:t>
            </w:r>
            <w:r>
              <w:t>STID</w:t>
            </w:r>
            <w:r w:rsidRPr="00407F45">
              <w:t xml:space="preserve"> </w:t>
            </w:r>
            <w:r>
              <w:t>was</w:t>
            </w:r>
            <w:r w:rsidRPr="00407F45">
              <w:t xml:space="preserve"> raised to the status of public document on </w:t>
            </w:r>
            <w:r>
              <w:t>22 April 2021</w:t>
            </w:r>
            <w:r w:rsidRPr="00407F45">
              <w:t xml:space="preserve"> </w:t>
            </w:r>
            <w:r w:rsidRPr="00901F23">
              <w:t>by means of a deed</w:t>
            </w:r>
            <w:r>
              <w:t xml:space="preserve"> intervened by</w:t>
            </w:r>
            <w:r w:rsidRPr="00973006">
              <w:t xml:space="preserve"> the </w:t>
            </w:r>
            <w:r>
              <w:t>Notary of Madrid, Mr. Antonio-Luis Reina Gutierrez.</w:t>
            </w:r>
            <w:r w:rsidRPr="00923375">
              <w:rPr>
                <w:b/>
                <w:i/>
              </w:rPr>
              <w:t xml:space="preserve"> </w:t>
            </w:r>
          </w:p>
        </w:tc>
      </w:tr>
      <w:tr w:rsidR="000D089E" w:rsidRPr="00D2582C" w14:paraId="51D17E8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96C34B6" w14:textId="77777777" w:rsidR="000D089E" w:rsidRDefault="000D089E" w:rsidP="000D089E">
            <w:pPr>
              <w:pStyle w:val="AODocTxtL1"/>
              <w:rPr>
                <w:lang w:val="es-ES"/>
              </w:rPr>
            </w:pPr>
            <w:r w:rsidRPr="00D2582C">
              <w:rPr>
                <w:lang w:val="es-ES"/>
              </w:rPr>
              <w:t xml:space="preserve">Las Cláusulas de interpretación </w:t>
            </w:r>
            <w:r>
              <w:rPr>
                <w:lang w:val="es-ES"/>
              </w:rPr>
              <w:t>del CTA y del Contrato entre Acreedores se entenderán incorporadas por referencia a la presente póliza.</w:t>
            </w:r>
          </w:p>
        </w:tc>
        <w:tc>
          <w:tcPr>
            <w:tcW w:w="2500" w:type="pct"/>
            <w:shd w:val="clear" w:color="auto" w:fill="auto"/>
          </w:tcPr>
          <w:p w14:paraId="272F04A2" w14:textId="77777777" w:rsidR="000D089E" w:rsidRPr="00D2582C" w:rsidRDefault="000D089E" w:rsidP="000D089E">
            <w:pPr>
              <w:pStyle w:val="AODocTxtL1"/>
            </w:pPr>
            <w:r>
              <w:t xml:space="preserve">Construction Clauses </w:t>
            </w:r>
            <w:r w:rsidRPr="00D2582C">
              <w:t xml:space="preserve">of the </w:t>
            </w:r>
            <w:r>
              <w:t>CTA and the STID shall be incorporated by reference to this deed.</w:t>
            </w:r>
          </w:p>
        </w:tc>
      </w:tr>
      <w:tr w:rsidR="000D089E" w:rsidRPr="00973006" w14:paraId="3515AF1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CEF4240" w14:textId="7F89C95F" w:rsidR="000D089E" w:rsidRPr="000D6609" w:rsidRDefault="000D089E" w:rsidP="000D089E">
            <w:pPr>
              <w:pStyle w:val="AOA"/>
              <w:rPr>
                <w:lang w:val="es-ES"/>
              </w:rPr>
            </w:pPr>
            <w:r w:rsidRPr="000D6609">
              <w:rPr>
                <w:lang w:val="es-ES"/>
              </w:rPr>
              <w:t xml:space="preserve">En adelante, el </w:t>
            </w:r>
            <w:r w:rsidRPr="000D6609">
              <w:rPr>
                <w:lang w:val="es-ES" w:eastAsia="es-ES"/>
              </w:rPr>
              <w:t>C</w:t>
            </w:r>
            <w:proofErr w:type="spellStart"/>
            <w:r w:rsidRPr="000D6609">
              <w:rPr>
                <w:lang w:val="es" w:eastAsia="es-ES"/>
              </w:rPr>
              <w:t>ontrato</w:t>
            </w:r>
            <w:proofErr w:type="spellEnd"/>
            <w:r w:rsidRPr="000D6609">
              <w:rPr>
                <w:lang w:val="es" w:eastAsia="es-ES"/>
              </w:rPr>
              <w:t xml:space="preserve"> de Crédito Autorizado Inicial, el Contrato de Financiación Auxiliar, el </w:t>
            </w:r>
            <w:r w:rsidRPr="000D6609">
              <w:rPr>
                <w:lang w:val="es-ES" w:eastAsia="es-ES"/>
              </w:rPr>
              <w:t>C</w:t>
            </w:r>
            <w:proofErr w:type="spellStart"/>
            <w:r w:rsidRPr="000D6609">
              <w:rPr>
                <w:lang w:val="es" w:eastAsia="es-ES"/>
              </w:rPr>
              <w:t>ontrato</w:t>
            </w:r>
            <w:proofErr w:type="spellEnd"/>
            <w:r w:rsidRPr="000D6609">
              <w:rPr>
                <w:lang w:val="es" w:eastAsia="es-ES"/>
              </w:rPr>
              <w:t xml:space="preserve"> de Crédito MRF, el </w:t>
            </w:r>
            <w:r w:rsidRPr="000D6609">
              <w:rPr>
                <w:lang w:val="es-ES" w:eastAsia="es-ES"/>
              </w:rPr>
              <w:t>C</w:t>
            </w:r>
            <w:proofErr w:type="spellStart"/>
            <w:r w:rsidRPr="000D6609">
              <w:rPr>
                <w:lang w:val="es" w:eastAsia="es-ES"/>
              </w:rPr>
              <w:t>ontrato</w:t>
            </w:r>
            <w:proofErr w:type="spellEnd"/>
            <w:r w:rsidRPr="000D6609">
              <w:rPr>
                <w:lang w:val="es" w:eastAsia="es-ES"/>
              </w:rPr>
              <w:t xml:space="preserve"> de Liquidez LF, el </w:t>
            </w:r>
            <w:r w:rsidRPr="000D6609">
              <w:rPr>
                <w:lang w:val="es-ES"/>
              </w:rPr>
              <w:t>Contrato de Financiación Bancario e Institucional, el Contrato de Financiación Institucional, el Contrato de Compra de Instrumentos de Deuda</w:t>
            </w:r>
            <w:r w:rsidRPr="000D6609">
              <w:rPr>
                <w:i/>
                <w:lang w:val="es-ES"/>
              </w:rPr>
              <w:t xml:space="preserve"> </w:t>
            </w:r>
            <w:r w:rsidRPr="000D6609">
              <w:rPr>
                <w:lang w:val="es-ES"/>
              </w:rPr>
              <w:t xml:space="preserve">PP, </w:t>
            </w:r>
            <w:r w:rsidRPr="000D6609">
              <w:rPr>
                <w:lang w:val="es" w:eastAsia="zh-CN"/>
              </w:rPr>
              <w:t>los Contratos de Cobertura Originales</w:t>
            </w:r>
            <w:r w:rsidRPr="000D6609">
              <w:rPr>
                <w:lang w:val="es-ES"/>
              </w:rPr>
              <w:t>, el CTA, el MDA, el CPA, el Contrato entre Acreedores, el Contrato de Emisión de Bonos</w:t>
            </w:r>
            <w:r w:rsidRPr="000D6609">
              <w:rPr>
                <w:lang w:val="es-ES" w:eastAsia="zh-CN"/>
              </w:rPr>
              <w:t xml:space="preserve">, </w:t>
            </w:r>
            <w:r w:rsidRPr="000D6609">
              <w:rPr>
                <w:lang w:val="es-ES"/>
              </w:rPr>
              <w:t>el Contrato de Compra de Instrumentos de Deuda PP 2021, el Contrato de Compra de Instrumentos de Deuda PP 2022 (tal y como dichos términos se definen a continuación), así como cualquier otro documento designado como Documento de la Financiación (</w:t>
            </w:r>
            <w:r w:rsidRPr="000D6609">
              <w:rPr>
                <w:i/>
                <w:lang w:val="es-ES"/>
              </w:rPr>
              <w:t>Finance Document</w:t>
            </w:r>
            <w:r w:rsidRPr="000D6609">
              <w:rPr>
                <w:lang w:val="es-ES"/>
              </w:rPr>
              <w:t xml:space="preserve">) bajo el MDA y/o el STID, y </w:t>
            </w:r>
            <w:r w:rsidRPr="000D6609">
              <w:rPr>
                <w:lang w:val="es-ES" w:eastAsia="zh-CN"/>
              </w:rPr>
              <w:t>una vez producida la extensión referida en la Póliza (definida más adelante) siguiente, los restantes Contratos de Cobertura (distintos de los Contratos de Cobertura Originales)</w:t>
            </w:r>
            <w:r w:rsidRPr="000D6609">
              <w:rPr>
                <w:lang w:val="es-ES"/>
              </w:rPr>
              <w:t xml:space="preserve"> y </w:t>
            </w:r>
            <w:r w:rsidRPr="000D6609">
              <w:rPr>
                <w:lang w:val="es-ES" w:eastAsia="zh-CN"/>
              </w:rPr>
              <w:t>cualesquiera otros Documentos Garantizados Adicionales tal y como dicho término se define en la Póliza</w:t>
            </w:r>
            <w:r w:rsidRPr="000D6609">
              <w:rPr>
                <w:lang w:val="es-ES"/>
              </w:rPr>
              <w:t xml:space="preserve">, se denominarán de forma conjunta como los </w:t>
            </w:r>
            <w:r w:rsidRPr="000D6609">
              <w:rPr>
                <w:b/>
                <w:lang w:val="es-ES"/>
              </w:rPr>
              <w:t>Documentos Garantizados Originales</w:t>
            </w:r>
            <w:r w:rsidRPr="000D6609">
              <w:rPr>
                <w:lang w:val="es-ES"/>
              </w:rPr>
              <w:t xml:space="preserve"> y cada uno de ellos de forma individual el o un </w:t>
            </w:r>
            <w:r w:rsidRPr="000D6609">
              <w:rPr>
                <w:b/>
                <w:lang w:val="es-ES"/>
              </w:rPr>
              <w:t>Documento Garantizado Original</w:t>
            </w:r>
            <w:r w:rsidRPr="000D6609">
              <w:rPr>
                <w:lang w:val="es-ES"/>
              </w:rPr>
              <w:t xml:space="preserve">. </w:t>
            </w:r>
          </w:p>
        </w:tc>
        <w:tc>
          <w:tcPr>
            <w:tcW w:w="2500" w:type="pct"/>
            <w:shd w:val="clear" w:color="auto" w:fill="auto"/>
          </w:tcPr>
          <w:p w14:paraId="31CD8936" w14:textId="63FF4E9A" w:rsidR="000D089E" w:rsidRPr="000D6609" w:rsidRDefault="000D089E" w:rsidP="000D089E">
            <w:pPr>
              <w:pStyle w:val="AODocTxt"/>
              <w:numPr>
                <w:ilvl w:val="0"/>
                <w:numId w:val="39"/>
              </w:numPr>
              <w:ind w:hanging="720"/>
            </w:pPr>
            <w:r w:rsidRPr="000D6609">
              <w:t>Hereinafter, the</w:t>
            </w:r>
            <w:r w:rsidRPr="000D6609">
              <w:rPr>
                <w:bCs/>
              </w:rPr>
              <w:t xml:space="preserve"> </w:t>
            </w:r>
            <w:r w:rsidRPr="000D6609">
              <w:t xml:space="preserve">Initial Authorised Credit Facilities Agreement, the Ancillary Facility Agreement, the Initial Maintenance Reserve Facility Agreement, the Initial Liquidity Facility Agreement, the Institutional and Bank Facilities Agreement, the Institutional Facility Agreement, the PP Debt Note Purchase Agreement, the Hedging Documents, the CTA, the MDA, the CPA, the STID, the Note Purchase Agreement, the 2021 PP Debt Note Purchase Agreement, the 2022 PP Debt Note Purchase Agreement (as these terms are defined below), as well as any other document designated as Finance Document under the MDA and/or the STID, and </w:t>
            </w:r>
            <w:r w:rsidRPr="000D6609">
              <w:rPr>
                <w:bCs/>
              </w:rPr>
              <w:t>once the automatic extension set out in the Deed (as defined below) has taken place</w:t>
            </w:r>
            <w:r w:rsidRPr="000D6609">
              <w:t>, the remaining Hedging Agreements (different from the Original Hedging Agreements) and any other Additional Secured Documents, as this term is defined in the Deed</w:t>
            </w:r>
            <w:r w:rsidRPr="000D6609">
              <w:rPr>
                <w:bCs/>
              </w:rPr>
              <w:t>,</w:t>
            </w:r>
            <w:r w:rsidRPr="000D6609">
              <w:t xml:space="preserve"> shall be jointly referred to as the </w:t>
            </w:r>
            <w:r w:rsidRPr="000D6609">
              <w:rPr>
                <w:b/>
              </w:rPr>
              <w:t>Original</w:t>
            </w:r>
            <w:r w:rsidRPr="000D6609">
              <w:t xml:space="preserve"> </w:t>
            </w:r>
            <w:r w:rsidRPr="000D6609">
              <w:rPr>
                <w:b/>
              </w:rPr>
              <w:t>Secured Documents</w:t>
            </w:r>
            <w:r w:rsidRPr="000D6609">
              <w:t xml:space="preserve"> and each one of them individually, an </w:t>
            </w:r>
            <w:r w:rsidRPr="000D6609">
              <w:rPr>
                <w:b/>
              </w:rPr>
              <w:t>Original</w:t>
            </w:r>
            <w:r w:rsidRPr="000D6609">
              <w:t xml:space="preserve"> </w:t>
            </w:r>
            <w:r w:rsidRPr="000D6609">
              <w:rPr>
                <w:b/>
              </w:rPr>
              <w:t>Secured Document</w:t>
            </w:r>
            <w:r w:rsidRPr="000D6609">
              <w:t>.</w:t>
            </w:r>
          </w:p>
        </w:tc>
      </w:tr>
      <w:tr w:rsidR="000D089E" w:rsidRPr="00973006" w14:paraId="0A25213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28DCFA7" w14:textId="2273915B" w:rsidR="000D089E" w:rsidRPr="000D6609" w:rsidRDefault="000D089E" w:rsidP="000D089E">
            <w:pPr>
              <w:pStyle w:val="AOA"/>
              <w:rPr>
                <w:lang w:val="es-ES"/>
              </w:rPr>
            </w:pPr>
            <w:r w:rsidRPr="0035388E">
              <w:rPr>
                <w:lang w:val="es-ES"/>
              </w:rPr>
              <w:lastRenderedPageBreak/>
              <w:t>Que, el día 2</w:t>
            </w:r>
            <w:r>
              <w:rPr>
                <w:lang w:val="es-ES"/>
              </w:rPr>
              <w:t>2</w:t>
            </w:r>
            <w:r w:rsidRPr="0035388E">
              <w:rPr>
                <w:lang w:val="es-ES"/>
              </w:rPr>
              <w:t xml:space="preserve"> de abril de 202</w:t>
            </w:r>
            <w:r>
              <w:rPr>
                <w:lang w:val="es-ES"/>
              </w:rPr>
              <w:t>1</w:t>
            </w:r>
            <w:r w:rsidRPr="0035388E">
              <w:rPr>
                <w:lang w:val="es-ES"/>
              </w:rPr>
              <w:t xml:space="preserve"> se </w:t>
            </w:r>
            <w:r>
              <w:rPr>
                <w:lang w:val="es-ES"/>
              </w:rPr>
              <w:t>suscribió</w:t>
            </w:r>
            <w:r w:rsidRPr="0035388E">
              <w:rPr>
                <w:lang w:val="es-ES"/>
              </w:rPr>
              <w:t xml:space="preserve"> un </w:t>
            </w:r>
            <w:r>
              <w:rPr>
                <w:lang w:val="es-ES"/>
              </w:rPr>
              <w:t>contrato de adhesión (</w:t>
            </w:r>
            <w:proofErr w:type="spellStart"/>
            <w:r w:rsidRPr="001074D6">
              <w:rPr>
                <w:i/>
                <w:iCs/>
                <w:lang w:val="es-ES"/>
              </w:rPr>
              <w:t>accession</w:t>
            </w:r>
            <w:proofErr w:type="spellEnd"/>
            <w:r w:rsidRPr="001074D6">
              <w:rPr>
                <w:i/>
                <w:iCs/>
                <w:lang w:val="es-ES"/>
              </w:rPr>
              <w:t xml:space="preserve"> </w:t>
            </w:r>
            <w:proofErr w:type="spellStart"/>
            <w:r w:rsidRPr="001074D6">
              <w:rPr>
                <w:i/>
                <w:iCs/>
                <w:lang w:val="es-ES"/>
              </w:rPr>
              <w:t>memorandum</w:t>
            </w:r>
            <w:proofErr w:type="spellEnd"/>
            <w:r>
              <w:rPr>
                <w:lang w:val="es-ES"/>
              </w:rPr>
              <w:t xml:space="preserve">) por Beacon Rail Leasing, </w:t>
            </w:r>
            <w:proofErr w:type="spellStart"/>
            <w:r>
              <w:rPr>
                <w:lang w:val="es-ES"/>
              </w:rPr>
              <w:t>S.à</w:t>
            </w:r>
            <w:proofErr w:type="spellEnd"/>
            <w:r>
              <w:rPr>
                <w:lang w:val="es-ES"/>
              </w:rPr>
              <w:t xml:space="preserve">. </w:t>
            </w:r>
            <w:proofErr w:type="spellStart"/>
            <w:r>
              <w:rPr>
                <w:lang w:val="es-ES"/>
              </w:rPr>
              <w:t>r.l</w:t>
            </w:r>
            <w:proofErr w:type="spellEnd"/>
            <w:r>
              <w:rPr>
                <w:lang w:val="es-ES"/>
              </w:rPr>
              <w:t>., Beacon Iberia y el Agente de Garantías, en virtud del cual Beacon Iberia se adhirió como obligado (</w:t>
            </w:r>
            <w:proofErr w:type="spellStart"/>
            <w:r w:rsidRPr="001074D6">
              <w:rPr>
                <w:i/>
                <w:iCs/>
                <w:lang w:val="es-ES"/>
              </w:rPr>
              <w:t>obligor</w:t>
            </w:r>
            <w:proofErr w:type="spellEnd"/>
            <w:r>
              <w:rPr>
                <w:lang w:val="es-ES"/>
              </w:rPr>
              <w:t>) al Contrato entre Acreedores, al MDA y al CTA, y entre otros, otorgó y ratificó a favor de las Partes Garantizadas la garantía a primer requerimiento (</w:t>
            </w:r>
            <w:proofErr w:type="spellStart"/>
            <w:r w:rsidRPr="001074D6">
              <w:rPr>
                <w:i/>
                <w:iCs/>
                <w:lang w:val="es-ES"/>
              </w:rPr>
              <w:t>guarantee</w:t>
            </w:r>
            <w:proofErr w:type="spellEnd"/>
            <w:r>
              <w:rPr>
                <w:lang w:val="es-ES"/>
              </w:rPr>
              <w:t>) contenida en la cláusula 8 (</w:t>
            </w:r>
            <w:proofErr w:type="spellStart"/>
            <w:r w:rsidRPr="001074D6">
              <w:rPr>
                <w:i/>
                <w:iCs/>
                <w:lang w:val="es-ES"/>
              </w:rPr>
              <w:t>Guarantee</w:t>
            </w:r>
            <w:proofErr w:type="spellEnd"/>
            <w:r>
              <w:rPr>
                <w:lang w:val="es-ES"/>
              </w:rPr>
              <w:t xml:space="preserve">) del Contrato entre Acreedores (en adelante, la </w:t>
            </w:r>
            <w:r w:rsidRPr="001074D6">
              <w:rPr>
                <w:b/>
                <w:bCs/>
                <w:lang w:val="es-ES"/>
              </w:rPr>
              <w:t>Garantía</w:t>
            </w:r>
            <w:r w:rsidRPr="00222DDB">
              <w:rPr>
                <w:lang w:val="es-ES"/>
              </w:rPr>
              <w:t>)</w:t>
            </w:r>
            <w:r>
              <w:rPr>
                <w:lang w:val="es-ES"/>
              </w:rPr>
              <w:t xml:space="preserve">. En adelante, </w:t>
            </w:r>
            <w:r w:rsidRPr="0035388E">
              <w:rPr>
                <w:lang w:val="es-ES"/>
              </w:rPr>
              <w:t xml:space="preserve">tal y como este sea modificado, extendido, ratificado y/o complementado en cada momento será referido como el </w:t>
            </w:r>
            <w:r>
              <w:rPr>
                <w:b/>
                <w:lang w:val="es-ES"/>
              </w:rPr>
              <w:t>Contrato de Adhesión</w:t>
            </w:r>
            <w:r>
              <w:rPr>
                <w:lang w:val="es-ES"/>
              </w:rPr>
              <w:t>.</w:t>
            </w:r>
          </w:p>
        </w:tc>
        <w:tc>
          <w:tcPr>
            <w:tcW w:w="2500" w:type="pct"/>
            <w:shd w:val="clear" w:color="auto" w:fill="auto"/>
          </w:tcPr>
          <w:p w14:paraId="25640BCB" w14:textId="469C2195" w:rsidR="000D089E" w:rsidRPr="000D6609" w:rsidRDefault="000D089E" w:rsidP="000D089E">
            <w:pPr>
              <w:pStyle w:val="AODocTxt"/>
              <w:numPr>
                <w:ilvl w:val="0"/>
                <w:numId w:val="39"/>
              </w:numPr>
              <w:ind w:hanging="720"/>
            </w:pPr>
            <w:r w:rsidRPr="0035388E">
              <w:t>That, on 2</w:t>
            </w:r>
            <w:r>
              <w:t>2</w:t>
            </w:r>
            <w:r w:rsidRPr="0035388E">
              <w:t xml:space="preserve"> April 202</w:t>
            </w:r>
            <w:r>
              <w:t>1</w:t>
            </w:r>
            <w:r w:rsidRPr="0035388E">
              <w:t>, a</w:t>
            </w:r>
            <w:r>
              <w:t>n accession memorandum was</w:t>
            </w:r>
            <w:r w:rsidRPr="0035388E">
              <w:t xml:space="preserve"> entered into between, </w:t>
            </w:r>
            <w:r w:rsidRPr="001074D6">
              <w:rPr>
                <w:lang w:val="en-US"/>
              </w:rPr>
              <w:t xml:space="preserve">Beacon Rail Leasing, </w:t>
            </w:r>
            <w:proofErr w:type="spellStart"/>
            <w:r w:rsidRPr="001074D6">
              <w:rPr>
                <w:lang w:val="en-US"/>
              </w:rPr>
              <w:t>S.à</w:t>
            </w:r>
            <w:proofErr w:type="spellEnd"/>
            <w:r w:rsidRPr="001074D6">
              <w:rPr>
                <w:lang w:val="en-US"/>
              </w:rPr>
              <w:t xml:space="preserve">. </w:t>
            </w:r>
            <w:proofErr w:type="spellStart"/>
            <w:r w:rsidRPr="001074D6">
              <w:rPr>
                <w:lang w:val="en-US"/>
              </w:rPr>
              <w:t>r.l</w:t>
            </w:r>
            <w:proofErr w:type="spellEnd"/>
            <w:r w:rsidRPr="001074D6">
              <w:rPr>
                <w:lang w:val="en-US"/>
              </w:rPr>
              <w:t>,</w:t>
            </w:r>
            <w:r>
              <w:t xml:space="preserve"> Beacon Iberia and the Security Agent, by means </w:t>
            </w:r>
            <w:r w:rsidRPr="0035388E">
              <w:t xml:space="preserve">of which </w:t>
            </w:r>
            <w:r>
              <w:t>Beacon Iberia acceded as obligor to the STID, the MDA and the CTA, and among others, granted and ratified in favour of the Secured Parties the first demand guarantee contained in clause 8 (</w:t>
            </w:r>
            <w:r w:rsidRPr="001074D6">
              <w:rPr>
                <w:i/>
                <w:iCs/>
              </w:rPr>
              <w:t>Guarantee</w:t>
            </w:r>
            <w:r>
              <w:t xml:space="preserve">) of the STID (hereinafter, the </w:t>
            </w:r>
            <w:r w:rsidRPr="00222DDB">
              <w:rPr>
                <w:b/>
                <w:bCs/>
              </w:rPr>
              <w:t>Guarantee</w:t>
            </w:r>
            <w:r>
              <w:t xml:space="preserve">). </w:t>
            </w:r>
            <w:r w:rsidRPr="0035388E">
              <w:t xml:space="preserve"> Hereinafter, </w:t>
            </w:r>
            <w:r>
              <w:t>respectively</w:t>
            </w:r>
            <w:r w:rsidRPr="0035388E">
              <w:t xml:space="preserve">, as it may be amended, extended, ratified and/or supplemented from time to time, shall be referred to as the </w:t>
            </w:r>
            <w:r>
              <w:rPr>
                <w:b/>
              </w:rPr>
              <w:t>Accession Memorandum</w:t>
            </w:r>
            <w:r w:rsidRPr="0035388E">
              <w:t>.</w:t>
            </w:r>
          </w:p>
        </w:tc>
      </w:tr>
      <w:tr w:rsidR="000D089E" w:rsidRPr="00973006" w14:paraId="57A3400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16AE2D4" w14:textId="6EC11C94" w:rsidR="000D089E" w:rsidRPr="000D6609" w:rsidRDefault="000D089E" w:rsidP="000D089E">
            <w:pPr>
              <w:pStyle w:val="AOA"/>
              <w:numPr>
                <w:ilvl w:val="0"/>
                <w:numId w:val="0"/>
              </w:numPr>
              <w:ind w:left="720"/>
              <w:rPr>
                <w:lang w:val="es-ES"/>
              </w:rPr>
            </w:pPr>
            <w:r w:rsidRPr="0035388E">
              <w:rPr>
                <w:lang w:val="es-ES"/>
              </w:rPr>
              <w:t xml:space="preserve">El </w:t>
            </w:r>
            <w:r>
              <w:rPr>
                <w:lang w:val="es" w:eastAsia="es-ES"/>
              </w:rPr>
              <w:t>Contrato de Adhesión</w:t>
            </w:r>
            <w:r w:rsidRPr="0035388E">
              <w:rPr>
                <w:lang w:val="es-ES"/>
              </w:rPr>
              <w:t xml:space="preserve"> fue elevado a público el día 2</w:t>
            </w:r>
            <w:r>
              <w:rPr>
                <w:lang w:val="es-ES"/>
              </w:rPr>
              <w:t>2</w:t>
            </w:r>
            <w:r w:rsidRPr="0035388E">
              <w:rPr>
                <w:lang w:val="es-ES"/>
              </w:rPr>
              <w:t xml:space="preserve"> de abril de 202</w:t>
            </w:r>
            <w:r>
              <w:rPr>
                <w:lang w:val="es-ES"/>
              </w:rPr>
              <w:t xml:space="preserve">1 </w:t>
            </w:r>
            <w:r w:rsidRPr="0035388E">
              <w:rPr>
                <w:lang w:val="es-ES"/>
              </w:rPr>
              <w:t xml:space="preserve">en virtud de póliza intervenida por el </w:t>
            </w:r>
            <w:r w:rsidRPr="00E53971">
              <w:rPr>
                <w:lang w:val="es-ES"/>
              </w:rPr>
              <w:t xml:space="preserve">Notario </w:t>
            </w:r>
            <w:r>
              <w:rPr>
                <w:lang w:val="es-ES"/>
              </w:rPr>
              <w:t>de Madrid, D. Antonio Luis Reina Gutiérrez,</w:t>
            </w:r>
            <w:r w:rsidRPr="0035388E">
              <w:rPr>
                <w:lang w:val="es-ES"/>
              </w:rPr>
              <w:t xml:space="preserve"> con el número </w:t>
            </w:r>
            <w:r>
              <w:rPr>
                <w:lang w:val="es-ES"/>
              </w:rPr>
              <w:t>3.367</w:t>
            </w:r>
            <w:r w:rsidRPr="0035388E">
              <w:rPr>
                <w:lang w:val="es-ES"/>
              </w:rPr>
              <w:t xml:space="preserve"> de su libro registro de operaciones.</w:t>
            </w:r>
            <w:r w:rsidRPr="0035388E">
              <w:rPr>
                <w:b/>
                <w:i/>
                <w:lang w:val="es-ES"/>
              </w:rPr>
              <w:t xml:space="preserve"> </w:t>
            </w:r>
          </w:p>
        </w:tc>
        <w:tc>
          <w:tcPr>
            <w:tcW w:w="2500" w:type="pct"/>
            <w:shd w:val="clear" w:color="auto" w:fill="auto"/>
          </w:tcPr>
          <w:p w14:paraId="1C8C90FF" w14:textId="0172569A" w:rsidR="000D089E" w:rsidRPr="000D6609" w:rsidRDefault="000D089E" w:rsidP="000D089E">
            <w:pPr>
              <w:pStyle w:val="AODocTxt"/>
              <w:numPr>
                <w:ilvl w:val="0"/>
                <w:numId w:val="0"/>
              </w:numPr>
              <w:ind w:left="720"/>
            </w:pPr>
            <w:r w:rsidRPr="0035388E">
              <w:t xml:space="preserve">The </w:t>
            </w:r>
            <w:r>
              <w:t>Accession Memorandum</w:t>
            </w:r>
            <w:r w:rsidRPr="0035388E">
              <w:t xml:space="preserve"> was raised to the status of public document on 2</w:t>
            </w:r>
            <w:r>
              <w:t>2</w:t>
            </w:r>
            <w:r w:rsidRPr="0035388E">
              <w:t xml:space="preserve"> April 202</w:t>
            </w:r>
            <w:r>
              <w:t>1</w:t>
            </w:r>
            <w:r w:rsidRPr="0035388E">
              <w:t xml:space="preserve"> by means of a deed intervened by the </w:t>
            </w:r>
            <w:r>
              <w:t xml:space="preserve">Notary of Madrid, Mr. Antonio-Luis Reina Gutierrez, </w:t>
            </w:r>
            <w:r w:rsidRPr="0035388E">
              <w:t xml:space="preserve">under number </w:t>
            </w:r>
            <w:r w:rsidRPr="001074D6">
              <w:rPr>
                <w:lang w:val="en-US"/>
              </w:rPr>
              <w:t>3</w:t>
            </w:r>
            <w:r>
              <w:rPr>
                <w:lang w:val="en-US"/>
              </w:rPr>
              <w:t>,</w:t>
            </w:r>
            <w:r w:rsidRPr="001074D6">
              <w:rPr>
                <w:lang w:val="en-US"/>
              </w:rPr>
              <w:t xml:space="preserve">367 </w:t>
            </w:r>
            <w:r w:rsidRPr="0035388E">
              <w:t>of his notarial records.</w:t>
            </w:r>
            <w:r w:rsidRPr="0035388E">
              <w:rPr>
                <w:b/>
                <w:i/>
              </w:rPr>
              <w:t xml:space="preserve"> </w:t>
            </w:r>
          </w:p>
        </w:tc>
      </w:tr>
      <w:tr w:rsidR="000D089E" w:rsidRPr="00100E93" w14:paraId="715D800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BEBC4DA" w14:textId="6B667581" w:rsidR="000D089E" w:rsidRPr="000D6609" w:rsidRDefault="000D089E" w:rsidP="000D089E">
            <w:pPr>
              <w:pStyle w:val="AOA"/>
              <w:rPr>
                <w:lang w:val="es-ES"/>
              </w:rPr>
            </w:pPr>
            <w:r w:rsidRPr="000D6609">
              <w:rPr>
                <w:lang w:val="es-ES"/>
              </w:rPr>
              <w:t xml:space="preserve">Cada Obligado Original (tal y como dicho término se define en el MDA), Beacon Finco, </w:t>
            </w:r>
            <w:proofErr w:type="spellStart"/>
            <w:r w:rsidRPr="000D6609">
              <w:rPr>
                <w:lang w:val="es-ES"/>
              </w:rPr>
              <w:t>S.à</w:t>
            </w:r>
            <w:proofErr w:type="spellEnd"/>
            <w:r w:rsidRPr="000D6609">
              <w:rPr>
                <w:lang w:val="es-ES"/>
              </w:rPr>
              <w:t xml:space="preserve"> </w:t>
            </w:r>
            <w:proofErr w:type="spellStart"/>
            <w:r w:rsidRPr="000D6609">
              <w:rPr>
                <w:lang w:val="es-ES"/>
              </w:rPr>
              <w:t>r.l</w:t>
            </w:r>
            <w:proofErr w:type="spellEnd"/>
            <w:r w:rsidRPr="000D6609">
              <w:rPr>
                <w:lang w:val="es-ES"/>
              </w:rPr>
              <w:t>., cada Deudor (</w:t>
            </w:r>
            <w:r w:rsidRPr="000D6609">
              <w:rPr>
                <w:i/>
                <w:lang w:val="es-ES"/>
              </w:rPr>
              <w:t>Borrower</w:t>
            </w:r>
            <w:r w:rsidRPr="000D6609">
              <w:rPr>
                <w:lang w:val="es-ES"/>
              </w:rPr>
              <w:t>) (tal y como dicho término se define en el MDA)</w:t>
            </w:r>
            <w:r>
              <w:rPr>
                <w:lang w:val="es-ES"/>
              </w:rPr>
              <w:t xml:space="preserve"> </w:t>
            </w:r>
            <w:r w:rsidRPr="000D6609">
              <w:rPr>
                <w:lang w:val="es-ES"/>
              </w:rPr>
              <w:t xml:space="preserve">y </w:t>
            </w:r>
            <w:r>
              <w:rPr>
                <w:lang w:val="es-ES"/>
              </w:rPr>
              <w:t xml:space="preserve">Beacon </w:t>
            </w:r>
            <w:r w:rsidRPr="002A5585">
              <w:rPr>
                <w:lang w:val="es-ES"/>
              </w:rPr>
              <w:t>Rail</w:t>
            </w:r>
            <w:r>
              <w:rPr>
                <w:lang w:val="es-ES"/>
              </w:rPr>
              <w:t xml:space="preserve"> Leasing</w:t>
            </w:r>
            <w:r w:rsidRPr="000D6609">
              <w:rPr>
                <w:lang w:val="es-ES"/>
              </w:rPr>
              <w:t xml:space="preserve"> </w:t>
            </w:r>
            <w:proofErr w:type="spellStart"/>
            <w:r w:rsidRPr="000D6609">
              <w:rPr>
                <w:lang w:val="es-ES"/>
              </w:rPr>
              <w:t>S.à</w:t>
            </w:r>
            <w:proofErr w:type="spellEnd"/>
            <w:r w:rsidRPr="000D6609">
              <w:rPr>
                <w:lang w:val="es-ES"/>
              </w:rPr>
              <w:t xml:space="preserve"> </w:t>
            </w:r>
            <w:proofErr w:type="spellStart"/>
            <w:r w:rsidRPr="000D6609">
              <w:rPr>
                <w:lang w:val="es-ES"/>
              </w:rPr>
              <w:t>r.l</w:t>
            </w:r>
            <w:proofErr w:type="spellEnd"/>
            <w:r w:rsidRPr="000D6609">
              <w:rPr>
                <w:lang w:val="es-ES"/>
              </w:rPr>
              <w:t>. así como cualesquiera otra persona que acceda al MDA y al Contrato entre Acreedores como Obligado de conformidad con los términos de los Documentos Financieros (</w:t>
            </w:r>
            <w:r w:rsidRPr="000D6609">
              <w:rPr>
                <w:i/>
                <w:lang w:val="es-ES"/>
              </w:rPr>
              <w:t xml:space="preserve">Finance </w:t>
            </w:r>
            <w:proofErr w:type="spellStart"/>
            <w:r w:rsidRPr="000D6609">
              <w:rPr>
                <w:i/>
                <w:lang w:val="es-ES"/>
              </w:rPr>
              <w:t>Documents</w:t>
            </w:r>
            <w:proofErr w:type="spellEnd"/>
            <w:r w:rsidRPr="000D6609">
              <w:rPr>
                <w:lang w:val="es-ES"/>
              </w:rPr>
              <w:t xml:space="preserve">), tal y como dicho término se encuentra definido en el MDA, serán referidas conjuntamente como los </w:t>
            </w:r>
            <w:r w:rsidRPr="000D6609">
              <w:rPr>
                <w:b/>
                <w:lang w:val="es-ES"/>
              </w:rPr>
              <w:t>Obligados</w:t>
            </w:r>
            <w:r w:rsidRPr="000D6609">
              <w:rPr>
                <w:lang w:val="es-ES"/>
              </w:rPr>
              <w:t xml:space="preserve">, e individualmente, cada uno de ellos, como el </w:t>
            </w:r>
            <w:r w:rsidRPr="000D6609">
              <w:rPr>
                <w:b/>
                <w:lang w:val="es-ES"/>
              </w:rPr>
              <w:t>Obligado</w:t>
            </w:r>
            <w:r w:rsidRPr="000D6609">
              <w:rPr>
                <w:lang w:val="es-ES"/>
              </w:rPr>
              <w:t>.</w:t>
            </w:r>
          </w:p>
        </w:tc>
        <w:tc>
          <w:tcPr>
            <w:tcW w:w="2500" w:type="pct"/>
            <w:shd w:val="clear" w:color="auto" w:fill="auto"/>
          </w:tcPr>
          <w:p w14:paraId="3EEBA674" w14:textId="38C4A7CF" w:rsidR="000D089E" w:rsidRPr="000D6609" w:rsidRDefault="000D089E" w:rsidP="000D089E">
            <w:pPr>
              <w:pStyle w:val="AODocTxt"/>
              <w:numPr>
                <w:ilvl w:val="0"/>
                <w:numId w:val="39"/>
              </w:numPr>
              <w:ind w:hanging="720"/>
            </w:pPr>
            <w:r w:rsidRPr="000D6609">
              <w:t xml:space="preserve">Each </w:t>
            </w:r>
            <w:r w:rsidRPr="000D6609">
              <w:rPr>
                <w:lang w:eastAsia="en-GB" w:bidi="en-GB"/>
              </w:rPr>
              <w:t xml:space="preserve">Original Obligor (as this term is defined in </w:t>
            </w:r>
            <w:r w:rsidRPr="000D6609">
              <w:t>the</w:t>
            </w:r>
            <w:r w:rsidRPr="000D6609">
              <w:rPr>
                <w:lang w:eastAsia="en-GB" w:bidi="en-GB"/>
              </w:rPr>
              <w:t xml:space="preserve"> MDA), </w:t>
            </w:r>
            <w:r w:rsidRPr="000D6609">
              <w:t xml:space="preserve">Beacon Finco, </w:t>
            </w:r>
            <w:proofErr w:type="spellStart"/>
            <w:r w:rsidRPr="000D6609">
              <w:t>S.à</w:t>
            </w:r>
            <w:proofErr w:type="spellEnd"/>
            <w:r w:rsidRPr="000D6609">
              <w:t xml:space="preserve"> </w:t>
            </w:r>
            <w:proofErr w:type="spellStart"/>
            <w:r w:rsidRPr="000D6609">
              <w:t>r.l</w:t>
            </w:r>
            <w:proofErr w:type="spellEnd"/>
            <w:r w:rsidRPr="000D6609">
              <w:t>.</w:t>
            </w:r>
            <w:r w:rsidRPr="000D6609">
              <w:rPr>
                <w:lang w:eastAsia="en-GB" w:bidi="en-GB"/>
              </w:rPr>
              <w:t>, each Borrower (as this term is defined in the MDA)</w:t>
            </w:r>
            <w:r>
              <w:rPr>
                <w:lang w:eastAsia="en-GB" w:bidi="en-GB"/>
              </w:rPr>
              <w:t xml:space="preserve"> </w:t>
            </w:r>
            <w:r w:rsidRPr="000D6609">
              <w:rPr>
                <w:lang w:eastAsia="en-GB" w:bidi="en-GB"/>
              </w:rPr>
              <w:t xml:space="preserve">and </w:t>
            </w:r>
            <w:r w:rsidRPr="002A5585">
              <w:t xml:space="preserve">Beacon </w:t>
            </w:r>
            <w:r>
              <w:t>Rail</w:t>
            </w:r>
            <w:r w:rsidRPr="002A5585">
              <w:t xml:space="preserve"> Leasing</w:t>
            </w:r>
            <w:r w:rsidRPr="000D6609">
              <w:rPr>
                <w:lang w:eastAsia="en-GB" w:bidi="en-GB"/>
              </w:rPr>
              <w:t xml:space="preserve"> </w:t>
            </w:r>
            <w:proofErr w:type="spellStart"/>
            <w:r w:rsidRPr="000D6609">
              <w:t>S.à</w:t>
            </w:r>
            <w:proofErr w:type="spellEnd"/>
            <w:r w:rsidRPr="000D6609">
              <w:t xml:space="preserve"> </w:t>
            </w:r>
            <w:proofErr w:type="spellStart"/>
            <w:r w:rsidRPr="000D6609">
              <w:t>r.l</w:t>
            </w:r>
            <w:proofErr w:type="spellEnd"/>
            <w:r w:rsidRPr="000D6609">
              <w:t>.</w:t>
            </w:r>
            <w:r w:rsidRPr="000D6609">
              <w:rPr>
                <w:lang w:eastAsia="en-GB" w:bidi="en-GB"/>
              </w:rPr>
              <w:t>, and any other person who accedes to, inter alia, the MDA and the STID as an Obligor in accordance with the terms of the Finance Documents</w:t>
            </w:r>
            <w:r w:rsidRPr="000D6609">
              <w:t xml:space="preserve"> (as defined in the MDA), shall be referred to as the </w:t>
            </w:r>
            <w:r w:rsidRPr="000D6609">
              <w:rPr>
                <w:b/>
              </w:rPr>
              <w:t>Obligors</w:t>
            </w:r>
            <w:r w:rsidRPr="000D6609">
              <w:t>, and each of them, individually, as</w:t>
            </w:r>
            <w:r w:rsidRPr="000D6609">
              <w:rPr>
                <w:b/>
              </w:rPr>
              <w:t xml:space="preserve"> </w:t>
            </w:r>
            <w:r w:rsidRPr="000D6609">
              <w:t xml:space="preserve">the </w:t>
            </w:r>
            <w:r w:rsidRPr="000D6609">
              <w:rPr>
                <w:b/>
              </w:rPr>
              <w:t>Obligor</w:t>
            </w:r>
            <w:r w:rsidRPr="000D6609">
              <w:t>.</w:t>
            </w:r>
          </w:p>
        </w:tc>
      </w:tr>
      <w:tr w:rsidR="000D089E" w:rsidRPr="00100E93" w14:paraId="680B3A67" w14:textId="77777777" w:rsidTr="00F47A3C">
        <w:tblPrEx>
          <w:jc w:val="left"/>
          <w:tblCellMar>
            <w:left w:w="115" w:type="dxa"/>
            <w:right w:w="115" w:type="dxa"/>
          </w:tblCellMar>
          <w:tblLook w:val="04A0" w:firstRow="1" w:lastRow="0" w:firstColumn="1" w:lastColumn="0" w:noHBand="0" w:noVBand="1"/>
        </w:tblPrEx>
        <w:tc>
          <w:tcPr>
            <w:tcW w:w="2500" w:type="pct"/>
          </w:tcPr>
          <w:p w14:paraId="2B04E50F" w14:textId="77777777" w:rsidR="000D089E" w:rsidRDefault="000D089E" w:rsidP="000D089E">
            <w:pPr>
              <w:pStyle w:val="AOA"/>
              <w:widowControl w:val="0"/>
              <w:rPr>
                <w:lang w:val="es-ES"/>
              </w:rPr>
            </w:pPr>
            <w:r>
              <w:rPr>
                <w:lang w:val="es-ES"/>
              </w:rPr>
              <w:t xml:space="preserve">Que, de conformidad con lo establecido en los Documentos Garantizados Originales, se otorgó un derecho real de </w:t>
            </w:r>
            <w:r w:rsidRPr="008129E3">
              <w:rPr>
                <w:lang w:val="es-ES"/>
              </w:rPr>
              <w:t>prenda de primer rango sobre las participaciones representativas de la totalidad del capital social de la Sociedad, otorgada mediante póliza suscrita el 22 de abril de 2021 por</w:t>
            </w:r>
            <w:r>
              <w:rPr>
                <w:lang w:val="es-ES"/>
              </w:rPr>
              <w:t>, entre otros,</w:t>
            </w:r>
            <w:r w:rsidRPr="008129E3">
              <w:rPr>
                <w:lang w:val="es-ES"/>
              </w:rPr>
              <w:t xml:space="preserve"> Beacon como </w:t>
            </w:r>
            <w:proofErr w:type="spellStart"/>
            <w:r w:rsidRPr="008129E3">
              <w:rPr>
                <w:lang w:val="es-ES"/>
              </w:rPr>
              <w:t>pignorant</w:t>
            </w:r>
            <w:r>
              <w:rPr>
                <w:lang w:val="es-ES"/>
              </w:rPr>
              <w:t>e</w:t>
            </w:r>
            <w:proofErr w:type="spellEnd"/>
            <w:r>
              <w:rPr>
                <w:lang w:val="es-ES"/>
              </w:rPr>
              <w:t xml:space="preserve">, la Sociedad como sociedad y ciertas entidades </w:t>
            </w:r>
            <w:r w:rsidRPr="008129E3">
              <w:rPr>
                <w:lang w:val="es-ES"/>
              </w:rPr>
              <w:t xml:space="preserve">como partes garantizadas e intervenida en esa misma fecha por el </w:t>
            </w:r>
            <w:r w:rsidRPr="00E53971">
              <w:rPr>
                <w:lang w:val="es-ES"/>
              </w:rPr>
              <w:t xml:space="preserve">Notario </w:t>
            </w:r>
            <w:r>
              <w:rPr>
                <w:lang w:val="es-ES"/>
              </w:rPr>
              <w:t>de Madrid, D. Antonio Luis Reina Gutiérrez,</w:t>
            </w:r>
            <w:r w:rsidRPr="008129E3">
              <w:rPr>
                <w:lang w:val="es-ES"/>
              </w:rPr>
              <w:t xml:space="preserve"> con el número 939 de su libro registro (la </w:t>
            </w:r>
            <w:r w:rsidRPr="008129E3">
              <w:rPr>
                <w:b/>
                <w:lang w:val="es-ES"/>
              </w:rPr>
              <w:t>Prenda sobre Participaciones</w:t>
            </w:r>
            <w:r>
              <w:rPr>
                <w:b/>
                <w:lang w:val="es-ES"/>
              </w:rPr>
              <w:t xml:space="preserve"> Original</w:t>
            </w:r>
            <w:r w:rsidRPr="008129E3">
              <w:rPr>
                <w:b/>
                <w:lang w:val="es-ES"/>
              </w:rPr>
              <w:t xml:space="preserve"> </w:t>
            </w:r>
            <w:r w:rsidRPr="008129E3">
              <w:rPr>
                <w:lang w:val="es-ES"/>
              </w:rPr>
              <w:t xml:space="preserve">y la </w:t>
            </w:r>
            <w:r w:rsidRPr="008129E3">
              <w:rPr>
                <w:b/>
                <w:lang w:val="es-ES"/>
              </w:rPr>
              <w:t xml:space="preserve">Póliza </w:t>
            </w:r>
            <w:r w:rsidRPr="008129E3">
              <w:rPr>
                <w:b/>
                <w:lang w:val="es-ES"/>
              </w:rPr>
              <w:lastRenderedPageBreak/>
              <w:t>de Prenda sobre Participaciones</w:t>
            </w:r>
            <w:r>
              <w:rPr>
                <w:b/>
                <w:lang w:val="es-ES"/>
              </w:rPr>
              <w:t xml:space="preserve"> Original</w:t>
            </w:r>
            <w:r w:rsidRPr="0027253F">
              <w:rPr>
                <w:lang w:val="es-ES"/>
              </w:rPr>
              <w:t>,</w:t>
            </w:r>
            <w:r w:rsidRPr="008129E3">
              <w:rPr>
                <w:b/>
                <w:lang w:val="es-ES"/>
              </w:rPr>
              <w:t xml:space="preserve"> </w:t>
            </w:r>
            <w:r w:rsidRPr="0027253F">
              <w:rPr>
                <w:lang w:val="es-ES"/>
              </w:rPr>
              <w:t>respectivamente</w:t>
            </w:r>
            <w:r w:rsidRPr="008129E3">
              <w:rPr>
                <w:lang w:val="es-ES"/>
              </w:rPr>
              <w:t>)</w:t>
            </w:r>
            <w:r>
              <w:rPr>
                <w:lang w:val="es-ES"/>
              </w:rPr>
              <w:t xml:space="preserve"> en garantía del íntegro y puntual cumplimiento y reembolso de todas las Obligaciones Garantizadas (tal y como dicho término se define en la </w:t>
            </w:r>
            <w:r w:rsidRPr="0027253F">
              <w:rPr>
                <w:lang w:val="es-ES"/>
              </w:rPr>
              <w:t>Póliza de Prenda sobre Participaciones</w:t>
            </w:r>
            <w:r>
              <w:rPr>
                <w:lang w:val="es-ES"/>
              </w:rPr>
              <w:t xml:space="preserve"> Original).</w:t>
            </w:r>
          </w:p>
        </w:tc>
        <w:tc>
          <w:tcPr>
            <w:tcW w:w="2500" w:type="pct"/>
          </w:tcPr>
          <w:p w14:paraId="75D42E90" w14:textId="77777777" w:rsidR="000D089E" w:rsidRDefault="000D089E" w:rsidP="000D089E">
            <w:pPr>
              <w:pStyle w:val="AODocTxt"/>
              <w:numPr>
                <w:ilvl w:val="0"/>
                <w:numId w:val="39"/>
              </w:numPr>
              <w:ind w:hanging="720"/>
            </w:pPr>
            <w:r>
              <w:lastRenderedPageBreak/>
              <w:t>That, in accordance with the terms of the Original Secured Documents, a first ranking</w:t>
            </w:r>
            <w:r w:rsidRPr="00AB3827">
              <w:t xml:space="preserve"> pledge over the quota shares </w:t>
            </w:r>
            <w:r>
              <w:t xml:space="preserve">representing the entire share capital </w:t>
            </w:r>
            <w:r w:rsidRPr="00AB3827">
              <w:t xml:space="preserve">of </w:t>
            </w:r>
            <w:r>
              <w:t>the Company, granted under a deed (</w:t>
            </w:r>
            <w:proofErr w:type="spellStart"/>
            <w:r w:rsidRPr="009748CA">
              <w:rPr>
                <w:i/>
              </w:rPr>
              <w:t>póliza</w:t>
            </w:r>
            <w:proofErr w:type="spellEnd"/>
            <w:r>
              <w:t xml:space="preserve">) of pledge </w:t>
            </w:r>
            <w:r w:rsidRPr="00AB3827">
              <w:t xml:space="preserve">entered into on </w:t>
            </w:r>
            <w:r>
              <w:t>22 April 2021</w:t>
            </w:r>
            <w:r w:rsidRPr="00AB3827">
              <w:t xml:space="preserve"> between </w:t>
            </w:r>
            <w:r>
              <w:t>Beacon</w:t>
            </w:r>
            <w:r w:rsidRPr="00AB3827">
              <w:t xml:space="preserve"> as pledgor, </w:t>
            </w:r>
            <w:r>
              <w:t xml:space="preserve">the Company </w:t>
            </w:r>
            <w:r w:rsidRPr="00AB3827">
              <w:t xml:space="preserve">as company and </w:t>
            </w:r>
            <w:r>
              <w:t xml:space="preserve">certain entities </w:t>
            </w:r>
            <w:r w:rsidRPr="00AB3827">
              <w:t>as secured parties</w:t>
            </w:r>
            <w:r>
              <w:t xml:space="preserve"> and</w:t>
            </w:r>
            <w:r w:rsidRPr="00AB3827">
              <w:t xml:space="preserve"> attested by the </w:t>
            </w:r>
            <w:r>
              <w:t xml:space="preserve">Notary of Madrid, Mr. Antonio-Luis Reina Gutierrez, </w:t>
            </w:r>
            <w:r w:rsidRPr="00AB3827">
              <w:t xml:space="preserve">with number </w:t>
            </w:r>
            <w:r>
              <w:t>939</w:t>
            </w:r>
            <w:r w:rsidRPr="00AB3827">
              <w:t xml:space="preserve"> of his registry book of transactions (the </w:t>
            </w:r>
            <w:r w:rsidRPr="008F7C2E">
              <w:rPr>
                <w:b/>
              </w:rPr>
              <w:t>Original Pledge</w:t>
            </w:r>
            <w:r w:rsidRPr="00937089">
              <w:rPr>
                <w:b/>
              </w:rPr>
              <w:t xml:space="preserve"> over </w:t>
            </w:r>
            <w:r>
              <w:rPr>
                <w:b/>
              </w:rPr>
              <w:t xml:space="preserve">Quotas Shares </w:t>
            </w:r>
            <w:r>
              <w:t xml:space="preserve">and the </w:t>
            </w:r>
            <w:r>
              <w:rPr>
                <w:b/>
              </w:rPr>
              <w:t>Deed of Original Pledge over Quotas Shares</w:t>
            </w:r>
            <w:r w:rsidRPr="0027253F">
              <w:t>, respectively)</w:t>
            </w:r>
            <w:r>
              <w:t xml:space="preserve"> </w:t>
            </w:r>
            <w:r>
              <w:lastRenderedPageBreak/>
              <w:t xml:space="preserve">was granted as security for the full and timely compliance of all the Secured Obligations (as this term set out under the </w:t>
            </w:r>
            <w:r w:rsidRPr="0027253F">
              <w:t xml:space="preserve">Deed of </w:t>
            </w:r>
            <w:r>
              <w:t xml:space="preserve">Original </w:t>
            </w:r>
            <w:r w:rsidRPr="0027253F">
              <w:t>Pledge over Quotas Shares</w:t>
            </w:r>
            <w:r>
              <w:t>).</w:t>
            </w:r>
          </w:p>
        </w:tc>
      </w:tr>
      <w:tr w:rsidR="000D089E" w:rsidRPr="00596179" w14:paraId="0651749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1CC776F" w14:textId="4D0D7D01" w:rsidR="000D089E" w:rsidRPr="00A318F2" w:rsidRDefault="000D089E" w:rsidP="000D089E">
            <w:pPr>
              <w:pStyle w:val="AOA"/>
              <w:numPr>
                <w:ilvl w:val="0"/>
                <w:numId w:val="0"/>
              </w:numPr>
              <w:ind w:left="720"/>
              <w:rPr>
                <w:lang w:val="es-ES"/>
              </w:rPr>
            </w:pPr>
            <w:r>
              <w:rPr>
                <w:lang w:val="es-ES"/>
              </w:rPr>
              <w:lastRenderedPageBreak/>
              <w:t>En adelante, la Prenda sobre Participaciones Original, tal y como sea</w:t>
            </w:r>
            <w:r w:rsidRPr="00490FE2">
              <w:rPr>
                <w:lang w:val="es-ES"/>
              </w:rPr>
              <w:t xml:space="preserve"> extendida y/o ratificada en cada momento</w:t>
            </w:r>
            <w:r>
              <w:rPr>
                <w:lang w:val="es-ES"/>
              </w:rPr>
              <w:t xml:space="preserve"> y, en particular, tal y como la misma fue extendida y/o ratificada en fecha 4 de noviembre de 2021, </w:t>
            </w:r>
            <w:r w:rsidRPr="00EE4390">
              <w:rPr>
                <w:lang w:val="es-ES"/>
              </w:rPr>
              <w:t>23 de noviembre 2021</w:t>
            </w:r>
            <w:r>
              <w:rPr>
                <w:lang w:val="es-ES"/>
              </w:rPr>
              <w:t xml:space="preserve">, el 25 de abril de 2022, el 4 de julio de 2023 y el 15 de abril de 2024 en virtud de pólizas de extensión y ratificación otorgadas ante el Notario de Madrid, D. Antonio-Luis Reina Gutierrez con los números 2.539, 2.657 y 709 de su libro registro de operaciones, respectivamente, y ante la Notario de Barcelona, Dña. Blanca Pardo García con los números 610 y </w:t>
            </w:r>
            <w:r w:rsidR="00166882">
              <w:rPr>
                <w:lang w:val="es-ES"/>
              </w:rPr>
              <w:t>330, respectivamente,</w:t>
            </w:r>
            <w:r>
              <w:rPr>
                <w:lang w:val="es-ES"/>
              </w:rPr>
              <w:t xml:space="preserve"> de su libro registro de operaciones, y tal y como ha sido extendida y ratificada en el día de hoy en virtud de la presente Póliza (la </w:t>
            </w:r>
            <w:r w:rsidRPr="003A5EB1">
              <w:rPr>
                <w:b/>
                <w:lang w:val="es-ES"/>
              </w:rPr>
              <w:t>Extensión y Ratificación</w:t>
            </w:r>
            <w:r>
              <w:rPr>
                <w:lang w:val="es-ES"/>
              </w:rPr>
              <w:t>)</w:t>
            </w:r>
            <w:r>
              <w:rPr>
                <w:color w:val="000000" w:themeColor="text1"/>
                <w:lang w:val="es-ES"/>
              </w:rPr>
              <w:t>,</w:t>
            </w:r>
            <w:r>
              <w:rPr>
                <w:lang w:val="es-ES"/>
              </w:rPr>
              <w:t xml:space="preserve"> será denominada</w:t>
            </w:r>
            <w:r w:rsidRPr="00490FE2">
              <w:rPr>
                <w:lang w:val="es-ES"/>
              </w:rPr>
              <w:t xml:space="preserve"> la </w:t>
            </w:r>
            <w:r w:rsidRPr="00490FE2">
              <w:rPr>
                <w:b/>
                <w:lang w:val="es-ES"/>
              </w:rPr>
              <w:t>Prenda</w:t>
            </w:r>
            <w:r>
              <w:rPr>
                <w:b/>
                <w:lang w:val="es-ES"/>
              </w:rPr>
              <w:t xml:space="preserve"> sobre Participaciones</w:t>
            </w:r>
            <w:r w:rsidRPr="00490FE2">
              <w:rPr>
                <w:lang w:val="es-ES"/>
              </w:rPr>
              <w:t>.</w:t>
            </w:r>
            <w:r>
              <w:rPr>
                <w:lang w:val="es-ES"/>
              </w:rPr>
              <w:t xml:space="preserve"> </w:t>
            </w:r>
          </w:p>
        </w:tc>
        <w:tc>
          <w:tcPr>
            <w:tcW w:w="2500" w:type="pct"/>
            <w:shd w:val="clear" w:color="auto" w:fill="auto"/>
          </w:tcPr>
          <w:p w14:paraId="6C0E9405" w14:textId="6A8623FD" w:rsidR="000D089E" w:rsidRPr="00596179" w:rsidRDefault="000D089E" w:rsidP="000D089E">
            <w:pPr>
              <w:pStyle w:val="AODocTxt"/>
              <w:numPr>
                <w:ilvl w:val="0"/>
                <w:numId w:val="0"/>
              </w:numPr>
              <w:ind w:left="720"/>
            </w:pPr>
            <w:r w:rsidRPr="00490FE2">
              <w:t xml:space="preserve">Hereinafter, the </w:t>
            </w:r>
            <w:r>
              <w:t xml:space="preserve">Original </w:t>
            </w:r>
            <w:r w:rsidRPr="00490FE2">
              <w:t>Pledge</w:t>
            </w:r>
            <w:r>
              <w:t xml:space="preserve"> over Quota Shares,</w:t>
            </w:r>
            <w:r w:rsidRPr="00490FE2">
              <w:t xml:space="preserve"> as extended and/or ratified from time to time</w:t>
            </w:r>
            <w:r>
              <w:t xml:space="preserve"> and, in particular, as it was extended and ratified by means of a deed of extension and ratification granted on 4 November 2021, 23 November 2021, 25 April 2022, 4 July 2023 and on 15 April 2024 before the Notary of Madrid, Mr. Antonio-Luis Reina Gutierrez with numbers 2,539, 2,657 and 709 of his registry book of transactions, respectively, and before the Notary of </w:t>
            </w:r>
            <w:r w:rsidRPr="00E85D0E">
              <w:t>Barcelona</w:t>
            </w:r>
            <w:r>
              <w:t xml:space="preserve">, Ms. </w:t>
            </w:r>
            <w:r w:rsidRPr="0004586B">
              <w:t>Blanca Pardo García</w:t>
            </w:r>
            <w:r>
              <w:t xml:space="preserve"> with numbers 610 and </w:t>
            </w:r>
            <w:r w:rsidR="00166882">
              <w:t>330</w:t>
            </w:r>
            <w:r>
              <w:t xml:space="preserve"> of his registry book of transactions,</w:t>
            </w:r>
            <w:r w:rsidR="00166882">
              <w:t xml:space="preserve"> respectively,</w:t>
            </w:r>
            <w:r>
              <w:t xml:space="preserve"> and as it has been extended and ratified by virtue of this Deed on the date hereof (the </w:t>
            </w:r>
            <w:r w:rsidRPr="003A5EB1">
              <w:rPr>
                <w:b/>
              </w:rPr>
              <w:t>Extension and Ratification</w:t>
            </w:r>
            <w:r>
              <w:t>)</w:t>
            </w:r>
            <w:r w:rsidRPr="00490FE2">
              <w:t>,</w:t>
            </w:r>
            <w:r>
              <w:t xml:space="preserve"> </w:t>
            </w:r>
            <w:r w:rsidRPr="00490FE2">
              <w:t xml:space="preserve">shall be </w:t>
            </w:r>
            <w:r w:rsidRPr="00490FE2">
              <w:rPr>
                <w:rFonts w:eastAsia="Times New Roman"/>
              </w:rPr>
              <w:t>jointly</w:t>
            </w:r>
            <w:r>
              <w:t xml:space="preserve"> referred to as</w:t>
            </w:r>
            <w:r w:rsidRPr="00490FE2">
              <w:t xml:space="preserve"> the </w:t>
            </w:r>
            <w:r w:rsidRPr="00490FE2">
              <w:rPr>
                <w:b/>
              </w:rPr>
              <w:t>Pledge</w:t>
            </w:r>
            <w:r>
              <w:rPr>
                <w:b/>
              </w:rPr>
              <w:t xml:space="preserve"> over Quota Shares</w:t>
            </w:r>
            <w:r w:rsidRPr="00490FE2">
              <w:t>.</w:t>
            </w:r>
            <w:r>
              <w:t xml:space="preserve"> </w:t>
            </w:r>
          </w:p>
        </w:tc>
      </w:tr>
      <w:tr w:rsidR="000D089E" w:rsidRPr="00596179" w14:paraId="77E597D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DF26033" w14:textId="41F88838" w:rsidR="000D089E" w:rsidRPr="00D95686" w:rsidRDefault="000D089E" w:rsidP="000D089E">
            <w:pPr>
              <w:pStyle w:val="AOHead3"/>
              <w:widowControl w:val="0"/>
              <w:numPr>
                <w:ilvl w:val="0"/>
                <w:numId w:val="0"/>
              </w:numPr>
              <w:ind w:left="720"/>
              <w:rPr>
                <w:lang w:val="es-ES"/>
              </w:rPr>
            </w:pPr>
            <w:r w:rsidRPr="00D95686">
              <w:rPr>
                <w:lang w:val="es-ES"/>
              </w:rPr>
              <w:t xml:space="preserve">Por su parte, </w:t>
            </w:r>
            <w:r>
              <w:rPr>
                <w:lang w:val="es-ES"/>
              </w:rPr>
              <w:t>la</w:t>
            </w:r>
            <w:r>
              <w:rPr>
                <w:b/>
                <w:lang w:val="es-ES"/>
              </w:rPr>
              <w:t xml:space="preserve"> </w:t>
            </w:r>
            <w:r w:rsidRPr="00C51146">
              <w:rPr>
                <w:lang w:val="es-ES"/>
              </w:rPr>
              <w:t>Póliza de Prenda sobre Participaciones</w:t>
            </w:r>
            <w:r>
              <w:rPr>
                <w:lang w:val="es-ES"/>
              </w:rPr>
              <w:t xml:space="preserve"> Original</w:t>
            </w:r>
            <w:r>
              <w:rPr>
                <w:color w:val="000000" w:themeColor="text1"/>
                <w:lang w:val="es-ES"/>
              </w:rPr>
              <w:t xml:space="preserve">, </w:t>
            </w:r>
            <w:r>
              <w:rPr>
                <w:lang w:val="es-ES"/>
              </w:rPr>
              <w:t xml:space="preserve">tal y como sea extendida y/o ratificada en cada momento y, en particular, tal y como queda extendida y/o ratificada en virtud de la Extensión y Ratificación, será denominada </w:t>
            </w:r>
            <w:r w:rsidRPr="00D95686">
              <w:rPr>
                <w:lang w:val="es-ES"/>
              </w:rPr>
              <w:t xml:space="preserve">la </w:t>
            </w:r>
            <w:r w:rsidRPr="00D95686">
              <w:rPr>
                <w:b/>
                <w:lang w:val="es-ES"/>
              </w:rPr>
              <w:t>Póliza de Prenda</w:t>
            </w:r>
            <w:r>
              <w:rPr>
                <w:b/>
                <w:lang w:val="es-ES"/>
              </w:rPr>
              <w:t xml:space="preserve"> sobre Participaciones</w:t>
            </w:r>
            <w:r w:rsidRPr="00D95686">
              <w:rPr>
                <w:lang w:val="es-ES"/>
              </w:rPr>
              <w:t>.</w:t>
            </w:r>
          </w:p>
        </w:tc>
        <w:tc>
          <w:tcPr>
            <w:tcW w:w="2500" w:type="pct"/>
            <w:shd w:val="clear" w:color="auto" w:fill="auto"/>
          </w:tcPr>
          <w:p w14:paraId="56619031" w14:textId="50DBAB7A" w:rsidR="000D089E" w:rsidRPr="00D95686" w:rsidRDefault="000D089E" w:rsidP="000D089E">
            <w:pPr>
              <w:pStyle w:val="AODocTxt"/>
              <w:widowControl w:val="0"/>
              <w:tabs>
                <w:tab w:val="left" w:pos="720"/>
              </w:tabs>
              <w:ind w:left="720"/>
            </w:pPr>
            <w:r w:rsidRPr="00D95686">
              <w:t xml:space="preserve">Likewise, </w:t>
            </w:r>
            <w:r w:rsidRPr="00D20F3B">
              <w:t>the</w:t>
            </w:r>
            <w:r>
              <w:t xml:space="preserve"> </w:t>
            </w:r>
            <w:r w:rsidRPr="00C51146">
              <w:t xml:space="preserve">Deed of </w:t>
            </w:r>
            <w:r>
              <w:t xml:space="preserve">Original </w:t>
            </w:r>
            <w:r w:rsidRPr="00C51146">
              <w:t>Pledge over Quotas Shares</w:t>
            </w:r>
            <w:r>
              <w:t>, as extended and ratified from time to time and</w:t>
            </w:r>
            <w:proofErr w:type="gramStart"/>
            <w:r>
              <w:t>, in particular, as</w:t>
            </w:r>
            <w:proofErr w:type="gramEnd"/>
            <w:r>
              <w:t xml:space="preserve"> it is extended and ratified by virtue of the Extension and Ratification) </w:t>
            </w:r>
            <w:r w:rsidRPr="00D95686">
              <w:t xml:space="preserve">shall be </w:t>
            </w:r>
            <w:r>
              <w:t>referred to as</w:t>
            </w:r>
            <w:r w:rsidRPr="00D95686">
              <w:t xml:space="preserve"> the </w:t>
            </w:r>
            <w:r w:rsidRPr="00D95686">
              <w:rPr>
                <w:b/>
              </w:rPr>
              <w:t>Deed of Pledge</w:t>
            </w:r>
            <w:r>
              <w:rPr>
                <w:b/>
              </w:rPr>
              <w:t xml:space="preserve"> over Quotas</w:t>
            </w:r>
            <w:r w:rsidRPr="00D95686">
              <w:t>.</w:t>
            </w:r>
          </w:p>
        </w:tc>
      </w:tr>
      <w:tr w:rsidR="000D089E" w:rsidRPr="00596179" w14:paraId="555F5F9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DFE1BF8" w14:textId="77777777" w:rsidR="000D089E" w:rsidRDefault="000D089E" w:rsidP="000D089E">
            <w:pPr>
              <w:pStyle w:val="AOA"/>
              <w:widowControl w:val="0"/>
              <w:rPr>
                <w:lang w:val="es-ES"/>
              </w:rPr>
            </w:pPr>
            <w:r>
              <w:rPr>
                <w:lang w:val="es-ES"/>
              </w:rPr>
              <w:t xml:space="preserve">Que, asimismo, de conformidad con lo establecido en los Documentos Garantizados Originales, se otorgó un derecho real de </w:t>
            </w:r>
            <w:r w:rsidRPr="008129E3">
              <w:rPr>
                <w:lang w:val="es-ES"/>
              </w:rPr>
              <w:t>p</w:t>
            </w:r>
            <w:r>
              <w:rPr>
                <w:lang w:val="es-ES"/>
              </w:rPr>
              <w:t>renda de primer rango sobre los derechos de crédito derivados de determinadas cuentas titularidad de Beacon Iberia</w:t>
            </w:r>
            <w:r w:rsidRPr="008129E3">
              <w:rPr>
                <w:lang w:val="es-ES"/>
              </w:rPr>
              <w:t xml:space="preserve">, otorgada mediante póliza suscrita el </w:t>
            </w:r>
            <w:r>
              <w:rPr>
                <w:lang w:val="es-ES"/>
              </w:rPr>
              <w:t>1 de marzo de 2022</w:t>
            </w:r>
            <w:r w:rsidRPr="008129E3">
              <w:rPr>
                <w:lang w:val="es-ES"/>
              </w:rPr>
              <w:t xml:space="preserve"> por</w:t>
            </w:r>
            <w:r>
              <w:rPr>
                <w:lang w:val="es-ES"/>
              </w:rPr>
              <w:t>, entre otros,</w:t>
            </w:r>
            <w:r w:rsidRPr="008129E3">
              <w:rPr>
                <w:lang w:val="es-ES"/>
              </w:rPr>
              <w:t xml:space="preserve"> </w:t>
            </w:r>
            <w:r>
              <w:rPr>
                <w:lang w:val="es-ES"/>
              </w:rPr>
              <w:t>Beacon Iberia</w:t>
            </w:r>
            <w:r w:rsidRPr="008129E3">
              <w:rPr>
                <w:lang w:val="es-ES"/>
              </w:rPr>
              <w:t xml:space="preserve"> como </w:t>
            </w:r>
            <w:proofErr w:type="spellStart"/>
            <w:r w:rsidRPr="008129E3">
              <w:rPr>
                <w:lang w:val="es-ES"/>
              </w:rPr>
              <w:t>pignorant</w:t>
            </w:r>
            <w:r>
              <w:rPr>
                <w:lang w:val="es-ES"/>
              </w:rPr>
              <w:t>e</w:t>
            </w:r>
            <w:proofErr w:type="spellEnd"/>
            <w:r>
              <w:rPr>
                <w:lang w:val="es-ES"/>
              </w:rPr>
              <w:t xml:space="preserve"> y ciertas entidades </w:t>
            </w:r>
            <w:r w:rsidRPr="008129E3">
              <w:rPr>
                <w:lang w:val="es-ES"/>
              </w:rPr>
              <w:t xml:space="preserve">como partes garantizadas e intervenida en esa misma fecha por el </w:t>
            </w:r>
            <w:r w:rsidRPr="00E53971">
              <w:rPr>
                <w:lang w:val="es-ES"/>
              </w:rPr>
              <w:t xml:space="preserve">Notario </w:t>
            </w:r>
            <w:r>
              <w:rPr>
                <w:lang w:val="es-ES"/>
              </w:rPr>
              <w:t xml:space="preserve">de Madrid, D. Antonio Luis Reina Gutiérrez, </w:t>
            </w:r>
            <w:r w:rsidRPr="008129E3">
              <w:rPr>
                <w:lang w:val="es-ES"/>
              </w:rPr>
              <w:t xml:space="preserve">con el número </w:t>
            </w:r>
            <w:r>
              <w:rPr>
                <w:lang w:val="es-ES"/>
              </w:rPr>
              <w:t>325</w:t>
            </w:r>
            <w:r w:rsidRPr="008129E3">
              <w:rPr>
                <w:lang w:val="es-ES"/>
              </w:rPr>
              <w:t xml:space="preserve"> de su libro registro (la </w:t>
            </w:r>
            <w:r w:rsidRPr="008129E3">
              <w:rPr>
                <w:b/>
                <w:lang w:val="es-ES"/>
              </w:rPr>
              <w:t xml:space="preserve">Prenda sobre </w:t>
            </w:r>
            <w:r>
              <w:rPr>
                <w:b/>
                <w:lang w:val="es-ES"/>
              </w:rPr>
              <w:t>Cuentas Original</w:t>
            </w:r>
            <w:r w:rsidRPr="008129E3">
              <w:rPr>
                <w:b/>
                <w:lang w:val="es-ES"/>
              </w:rPr>
              <w:t xml:space="preserve"> </w:t>
            </w:r>
            <w:r w:rsidRPr="008129E3">
              <w:rPr>
                <w:lang w:val="es-ES"/>
              </w:rPr>
              <w:t xml:space="preserve">y la </w:t>
            </w:r>
            <w:r w:rsidRPr="008129E3">
              <w:rPr>
                <w:b/>
                <w:lang w:val="es-ES"/>
              </w:rPr>
              <w:t xml:space="preserve">Póliza de Prenda sobre </w:t>
            </w:r>
            <w:r>
              <w:rPr>
                <w:b/>
                <w:lang w:val="es-ES"/>
              </w:rPr>
              <w:t>Cuentas Original</w:t>
            </w:r>
            <w:r w:rsidRPr="0027253F">
              <w:rPr>
                <w:lang w:val="es-ES"/>
              </w:rPr>
              <w:t>,</w:t>
            </w:r>
            <w:r w:rsidRPr="008129E3">
              <w:rPr>
                <w:b/>
                <w:lang w:val="es-ES"/>
              </w:rPr>
              <w:t xml:space="preserve"> </w:t>
            </w:r>
            <w:r w:rsidRPr="0027253F">
              <w:rPr>
                <w:lang w:val="es-ES"/>
              </w:rPr>
              <w:t>respectivamente</w:t>
            </w:r>
            <w:r w:rsidRPr="008129E3">
              <w:rPr>
                <w:lang w:val="es-ES"/>
              </w:rPr>
              <w:t>)</w:t>
            </w:r>
            <w:r>
              <w:rPr>
                <w:lang w:val="es-ES"/>
              </w:rPr>
              <w:t xml:space="preserve"> en garantía del íntegro y puntual cumplimiento y reembolso de todas </w:t>
            </w:r>
            <w:r>
              <w:rPr>
                <w:lang w:val="es-ES"/>
              </w:rPr>
              <w:lastRenderedPageBreak/>
              <w:t xml:space="preserve">las Obligaciones Garantizadas (tal y como dicho término se define en la </w:t>
            </w:r>
            <w:r w:rsidRPr="0027253F">
              <w:rPr>
                <w:lang w:val="es-ES"/>
              </w:rPr>
              <w:t xml:space="preserve">Póliza de Prenda sobre </w:t>
            </w:r>
            <w:r>
              <w:rPr>
                <w:lang w:val="es-ES"/>
              </w:rPr>
              <w:t>Cuentas Original).</w:t>
            </w:r>
          </w:p>
        </w:tc>
        <w:tc>
          <w:tcPr>
            <w:tcW w:w="2500" w:type="pct"/>
            <w:shd w:val="clear" w:color="auto" w:fill="auto"/>
          </w:tcPr>
          <w:p w14:paraId="5883DA6D" w14:textId="77777777" w:rsidR="000D089E" w:rsidRDefault="000D089E" w:rsidP="000D089E">
            <w:pPr>
              <w:pStyle w:val="AODocTxt"/>
              <w:numPr>
                <w:ilvl w:val="0"/>
                <w:numId w:val="39"/>
              </w:numPr>
              <w:ind w:hanging="720"/>
            </w:pPr>
            <w:r>
              <w:lastRenderedPageBreak/>
              <w:t>That, in accordance with the terms of the Original Secured Documents, a first ranking</w:t>
            </w:r>
            <w:r w:rsidRPr="00AB3827">
              <w:t xml:space="preserve"> pledge over the </w:t>
            </w:r>
            <w:r>
              <w:t>credit rights arising from certain bank accounts owned by</w:t>
            </w:r>
            <w:r w:rsidRPr="00AB3827">
              <w:t xml:space="preserve"> </w:t>
            </w:r>
            <w:r w:rsidRPr="00E20A28">
              <w:t>Beacon Iberia</w:t>
            </w:r>
            <w:r>
              <w:t>, granted under a deed (</w:t>
            </w:r>
            <w:proofErr w:type="spellStart"/>
            <w:r w:rsidRPr="009748CA">
              <w:rPr>
                <w:i/>
              </w:rPr>
              <w:t>póliza</w:t>
            </w:r>
            <w:proofErr w:type="spellEnd"/>
            <w:r>
              <w:t xml:space="preserve">) of pledge </w:t>
            </w:r>
            <w:r w:rsidRPr="00AB3827">
              <w:t xml:space="preserve">entered into on </w:t>
            </w:r>
            <w:r>
              <w:t>1 March 2022</w:t>
            </w:r>
            <w:r w:rsidRPr="00AB3827">
              <w:t xml:space="preserve"> between</w:t>
            </w:r>
            <w:r>
              <w:t>, amongst others,</w:t>
            </w:r>
            <w:r w:rsidRPr="00AB3827">
              <w:t xml:space="preserve"> </w:t>
            </w:r>
            <w:r w:rsidRPr="00E20A28">
              <w:t>Beacon Iberia</w:t>
            </w:r>
            <w:r>
              <w:t xml:space="preserve"> as pledgor </w:t>
            </w:r>
            <w:r w:rsidRPr="00AB3827">
              <w:t xml:space="preserve">and </w:t>
            </w:r>
            <w:r>
              <w:t xml:space="preserve">certain entities </w:t>
            </w:r>
            <w:r w:rsidRPr="00AB3827">
              <w:t>as secured parties</w:t>
            </w:r>
            <w:r>
              <w:t xml:space="preserve"> and</w:t>
            </w:r>
            <w:r w:rsidRPr="00AB3827">
              <w:t xml:space="preserve"> attested by the </w:t>
            </w:r>
            <w:r>
              <w:t xml:space="preserve">Notary of Madrid, Mr. Antonio-Luis Reina Gutierrez, </w:t>
            </w:r>
            <w:r w:rsidRPr="00AB3827">
              <w:t xml:space="preserve">with number </w:t>
            </w:r>
            <w:r>
              <w:t>325</w:t>
            </w:r>
            <w:r w:rsidRPr="00AB3827">
              <w:t xml:space="preserve"> of his registry book of transactions (the </w:t>
            </w:r>
            <w:r w:rsidRPr="008F7C2E">
              <w:rPr>
                <w:b/>
              </w:rPr>
              <w:t>Original Pledge</w:t>
            </w:r>
            <w:r w:rsidRPr="00937089">
              <w:rPr>
                <w:b/>
              </w:rPr>
              <w:t xml:space="preserve"> over </w:t>
            </w:r>
            <w:r>
              <w:rPr>
                <w:b/>
              </w:rPr>
              <w:t xml:space="preserve">Bank Accounts </w:t>
            </w:r>
            <w:r>
              <w:t xml:space="preserve">and the </w:t>
            </w:r>
            <w:r>
              <w:rPr>
                <w:b/>
              </w:rPr>
              <w:t>Deed of Original Pledge over Bank Accounts</w:t>
            </w:r>
            <w:r w:rsidRPr="0027253F">
              <w:t>, respectively)</w:t>
            </w:r>
            <w:r>
              <w:t xml:space="preserve"> was granted as security for the full and timely compliance of all the Secured </w:t>
            </w:r>
            <w:r>
              <w:lastRenderedPageBreak/>
              <w:t xml:space="preserve">Obligations (as this term set out under the </w:t>
            </w:r>
            <w:r w:rsidRPr="0027253F">
              <w:t>Deed of Pledge over Quotas Shares</w:t>
            </w:r>
            <w:r>
              <w:t>).</w:t>
            </w:r>
          </w:p>
        </w:tc>
      </w:tr>
      <w:tr w:rsidR="000D089E" w:rsidRPr="00596179" w14:paraId="4205CDB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6E1FA98" w14:textId="08874D3A" w:rsidR="000D089E" w:rsidRPr="00A318F2" w:rsidRDefault="000D089E" w:rsidP="000D089E">
            <w:pPr>
              <w:pStyle w:val="AOA"/>
              <w:numPr>
                <w:ilvl w:val="0"/>
                <w:numId w:val="0"/>
              </w:numPr>
              <w:ind w:left="720"/>
              <w:rPr>
                <w:lang w:val="es-ES"/>
              </w:rPr>
            </w:pPr>
            <w:r>
              <w:rPr>
                <w:lang w:val="es-ES"/>
              </w:rPr>
              <w:lastRenderedPageBreak/>
              <w:t xml:space="preserve">En adelante, la Prenda sobre Cuentas Original, tal y como sea extendida y/o ratificada en cada momento y, en particular, tal y como la misma fue extendida y ratificada el 25 de abril de 2022, el 4 de julio de 2023 y el 15 de abril de 2024, en virtud de pólizas de extensión y ratificación otorgadas ante el Notario de Madrid, D. Antonio-Luis Reina Gutierrez con el número 709 de su libro registro de pólizas, y ante la Notario de Barcelona, Dña. Blanca Pardo García con los números 610 y </w:t>
            </w:r>
            <w:r w:rsidR="00166882">
              <w:rPr>
                <w:lang w:val="es-ES"/>
              </w:rPr>
              <w:t>330</w:t>
            </w:r>
            <w:r>
              <w:rPr>
                <w:lang w:val="es-ES"/>
              </w:rPr>
              <w:t xml:space="preserve"> de su libro registro de pólizas, respectivamente, y tal y como ha sido extendida y ratificada en el día de hoy en virtud de la Extensión y Ratificación</w:t>
            </w:r>
            <w:r>
              <w:rPr>
                <w:color w:val="000000" w:themeColor="text1"/>
                <w:lang w:val="es-ES"/>
              </w:rPr>
              <w:t>,</w:t>
            </w:r>
            <w:r w:rsidRPr="00490FE2">
              <w:rPr>
                <w:lang w:val="es-ES"/>
              </w:rPr>
              <w:t xml:space="preserve"> será denominada, la </w:t>
            </w:r>
            <w:r w:rsidRPr="00490FE2">
              <w:rPr>
                <w:b/>
                <w:lang w:val="es-ES"/>
              </w:rPr>
              <w:t>Prenda</w:t>
            </w:r>
            <w:r>
              <w:rPr>
                <w:b/>
                <w:lang w:val="es-ES"/>
              </w:rPr>
              <w:t xml:space="preserve"> sobre Cuentas</w:t>
            </w:r>
            <w:r w:rsidRPr="00490FE2">
              <w:rPr>
                <w:lang w:val="es-ES"/>
              </w:rPr>
              <w:t>.</w:t>
            </w:r>
            <w:r w:rsidRPr="000F5334">
              <w:rPr>
                <w:lang w:val="es-ES"/>
              </w:rPr>
              <w:t xml:space="preserve"> </w:t>
            </w:r>
          </w:p>
        </w:tc>
        <w:tc>
          <w:tcPr>
            <w:tcW w:w="2500" w:type="pct"/>
            <w:shd w:val="clear" w:color="auto" w:fill="auto"/>
          </w:tcPr>
          <w:p w14:paraId="6657668B" w14:textId="32F9DA3F" w:rsidR="000D089E" w:rsidRPr="00596179" w:rsidRDefault="000D089E" w:rsidP="000D089E">
            <w:pPr>
              <w:pStyle w:val="AODocTxt"/>
              <w:numPr>
                <w:ilvl w:val="0"/>
                <w:numId w:val="0"/>
              </w:numPr>
              <w:ind w:left="720"/>
            </w:pPr>
            <w:r w:rsidRPr="00490FE2">
              <w:t xml:space="preserve">Hereinafter, the </w:t>
            </w:r>
            <w:r>
              <w:t xml:space="preserve">Original </w:t>
            </w:r>
            <w:r w:rsidRPr="00490FE2">
              <w:t>Pledge</w:t>
            </w:r>
            <w:r>
              <w:t xml:space="preserve"> over Bank Accounts,</w:t>
            </w:r>
            <w:r w:rsidRPr="00490FE2">
              <w:t xml:space="preserve"> as extended and/or ratified from time to time</w:t>
            </w:r>
            <w:r>
              <w:t xml:space="preserve"> and, in particular, as it was extended and ratified by means of deeds of extension and ratification granted on 25 April 2022, 4 July 2023 and on 15 April 2024, before the Notary of Madrid, Mr. Antonio-Luis Reina Gutierrez with number 709 of his registry book of transactions, and before the Notary of </w:t>
            </w:r>
            <w:r w:rsidRPr="00E85D0E">
              <w:t>Barcelona</w:t>
            </w:r>
            <w:r>
              <w:t xml:space="preserve">, Ms. </w:t>
            </w:r>
            <w:r w:rsidRPr="0004586B">
              <w:t>Blanca Pardo García</w:t>
            </w:r>
            <w:r>
              <w:t xml:space="preserve"> with numbers 610 and </w:t>
            </w:r>
            <w:r w:rsidR="00166882">
              <w:t>330</w:t>
            </w:r>
            <w:r>
              <w:t xml:space="preserve"> of his registry book of transactions, respectively, and as it has been extended and ratified on the date hereof by virtue of the Extension and Ratification</w:t>
            </w:r>
            <w:r w:rsidRPr="00490FE2">
              <w:t>,</w:t>
            </w:r>
            <w:r>
              <w:t xml:space="preserve"> </w:t>
            </w:r>
            <w:r w:rsidRPr="00490FE2">
              <w:t xml:space="preserve">shall be </w:t>
            </w:r>
            <w:r w:rsidRPr="00490FE2">
              <w:rPr>
                <w:rFonts w:eastAsia="Times New Roman"/>
              </w:rPr>
              <w:t>jointly</w:t>
            </w:r>
            <w:r>
              <w:t xml:space="preserve"> referred to as</w:t>
            </w:r>
            <w:r w:rsidRPr="00490FE2">
              <w:t xml:space="preserve"> the </w:t>
            </w:r>
            <w:r w:rsidRPr="00490FE2">
              <w:rPr>
                <w:b/>
              </w:rPr>
              <w:t>Pledge</w:t>
            </w:r>
            <w:r>
              <w:rPr>
                <w:b/>
              </w:rPr>
              <w:t xml:space="preserve"> over Bank Accounts</w:t>
            </w:r>
            <w:r w:rsidRPr="00490FE2">
              <w:t>.</w:t>
            </w:r>
            <w:r>
              <w:t xml:space="preserve"> </w:t>
            </w:r>
          </w:p>
        </w:tc>
      </w:tr>
      <w:tr w:rsidR="000D089E" w:rsidRPr="00596179" w14:paraId="5B77C86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3B1E2E8" w14:textId="1BBA1E21" w:rsidR="000D089E" w:rsidRPr="00D95686" w:rsidRDefault="000D089E" w:rsidP="000D089E">
            <w:pPr>
              <w:pStyle w:val="AOHead3"/>
              <w:widowControl w:val="0"/>
              <w:numPr>
                <w:ilvl w:val="0"/>
                <w:numId w:val="0"/>
              </w:numPr>
              <w:ind w:left="720"/>
              <w:rPr>
                <w:lang w:val="es-ES"/>
              </w:rPr>
            </w:pPr>
            <w:r w:rsidRPr="00D95686">
              <w:rPr>
                <w:lang w:val="es-ES"/>
              </w:rPr>
              <w:t xml:space="preserve">Por su parte, </w:t>
            </w:r>
            <w:r>
              <w:rPr>
                <w:lang w:val="es-ES"/>
              </w:rPr>
              <w:t>la</w:t>
            </w:r>
            <w:r>
              <w:rPr>
                <w:b/>
                <w:lang w:val="es-ES"/>
              </w:rPr>
              <w:t xml:space="preserve"> </w:t>
            </w:r>
            <w:r w:rsidRPr="00C51146">
              <w:rPr>
                <w:lang w:val="es-ES"/>
              </w:rPr>
              <w:t xml:space="preserve">Póliza de Prenda sobre </w:t>
            </w:r>
            <w:r>
              <w:rPr>
                <w:lang w:val="es-ES"/>
              </w:rPr>
              <w:t>Cuentas Original</w:t>
            </w:r>
            <w:r>
              <w:rPr>
                <w:color w:val="000000" w:themeColor="text1"/>
                <w:lang w:val="es-ES"/>
              </w:rPr>
              <w:t xml:space="preserve">, </w:t>
            </w:r>
            <w:r>
              <w:rPr>
                <w:lang w:val="es-ES"/>
              </w:rPr>
              <w:t xml:space="preserve">tal y como sea extendida y/o ratificada en cada momento y, en particular, tal y como la misma es extendida y ratificada en virtud de la Extensión y Ratificación, será denominada </w:t>
            </w:r>
            <w:r w:rsidRPr="00D95686">
              <w:rPr>
                <w:lang w:val="es-ES"/>
              </w:rPr>
              <w:t xml:space="preserve">la </w:t>
            </w:r>
            <w:r w:rsidRPr="00D95686">
              <w:rPr>
                <w:b/>
                <w:lang w:val="es-ES"/>
              </w:rPr>
              <w:t>Póliza de Prenda</w:t>
            </w:r>
            <w:r>
              <w:rPr>
                <w:b/>
                <w:lang w:val="es-ES"/>
              </w:rPr>
              <w:t xml:space="preserve"> sobre Cuentas</w:t>
            </w:r>
            <w:r w:rsidRPr="00D95686">
              <w:rPr>
                <w:lang w:val="es-ES"/>
              </w:rPr>
              <w:t>.</w:t>
            </w:r>
          </w:p>
        </w:tc>
        <w:tc>
          <w:tcPr>
            <w:tcW w:w="2500" w:type="pct"/>
            <w:shd w:val="clear" w:color="auto" w:fill="auto"/>
          </w:tcPr>
          <w:p w14:paraId="0A5AE109" w14:textId="3CE64147" w:rsidR="000D089E" w:rsidRPr="00D95686" w:rsidRDefault="000D089E" w:rsidP="000D089E">
            <w:pPr>
              <w:pStyle w:val="AODocTxt"/>
              <w:widowControl w:val="0"/>
              <w:tabs>
                <w:tab w:val="left" w:pos="720"/>
              </w:tabs>
              <w:ind w:left="720"/>
            </w:pPr>
            <w:r w:rsidRPr="00D95686">
              <w:t xml:space="preserve">Likewise, </w:t>
            </w:r>
            <w:r w:rsidRPr="00D20F3B">
              <w:t>the</w:t>
            </w:r>
            <w:r>
              <w:t xml:space="preserve"> </w:t>
            </w:r>
            <w:r w:rsidRPr="00C51146">
              <w:t xml:space="preserve">Deed of </w:t>
            </w:r>
            <w:r>
              <w:t xml:space="preserve">Original </w:t>
            </w:r>
            <w:r w:rsidRPr="00C51146">
              <w:t xml:space="preserve">Pledge over </w:t>
            </w:r>
            <w:r>
              <w:t>Bank Accounts, as extended and ratified from time to time and</w:t>
            </w:r>
            <w:proofErr w:type="gramStart"/>
            <w:r>
              <w:t>, in particular, as</w:t>
            </w:r>
            <w:proofErr w:type="gramEnd"/>
            <w:r>
              <w:t xml:space="preserve"> it is extended and ratified by virtue of the Extension and Ratification, </w:t>
            </w:r>
            <w:r w:rsidRPr="00D95686">
              <w:t xml:space="preserve">shall be </w:t>
            </w:r>
            <w:r>
              <w:t>referred to as</w:t>
            </w:r>
            <w:r w:rsidRPr="00D95686">
              <w:t xml:space="preserve"> the </w:t>
            </w:r>
            <w:r w:rsidRPr="00D95686">
              <w:rPr>
                <w:b/>
              </w:rPr>
              <w:t>Deed of Pledge</w:t>
            </w:r>
            <w:r>
              <w:rPr>
                <w:b/>
              </w:rPr>
              <w:t xml:space="preserve"> over Bank Accounts</w:t>
            </w:r>
            <w:r w:rsidRPr="00D95686">
              <w:t>.</w:t>
            </w:r>
          </w:p>
        </w:tc>
      </w:tr>
      <w:tr w:rsidR="000D089E" w:rsidRPr="00596179" w14:paraId="3630C0AF"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D4FB864" w14:textId="77777777" w:rsidR="000D089E" w:rsidRPr="00596179" w:rsidRDefault="000D089E" w:rsidP="000D089E">
            <w:pPr>
              <w:pStyle w:val="AODocTxtL1"/>
              <w:rPr>
                <w:lang w:val="es-ES"/>
              </w:rPr>
            </w:pPr>
            <w:r>
              <w:rPr>
                <w:lang w:val="es-ES"/>
              </w:rPr>
              <w:t xml:space="preserve">En adelante, la Prenda sobre Participaciones y la Prenda sobre Cuentas </w:t>
            </w:r>
            <w:r w:rsidRPr="00490FE2">
              <w:rPr>
                <w:lang w:val="es-ES"/>
              </w:rPr>
              <w:t>será</w:t>
            </w:r>
            <w:r>
              <w:rPr>
                <w:lang w:val="es-ES"/>
              </w:rPr>
              <w:t>n</w:t>
            </w:r>
            <w:r w:rsidRPr="00490FE2">
              <w:rPr>
                <w:lang w:val="es-ES"/>
              </w:rPr>
              <w:t xml:space="preserve"> denominada</w:t>
            </w:r>
            <w:r>
              <w:rPr>
                <w:lang w:val="es-ES"/>
              </w:rPr>
              <w:t>s, conjuntamente</w:t>
            </w:r>
            <w:r w:rsidRPr="00490FE2">
              <w:rPr>
                <w:lang w:val="es-ES"/>
              </w:rPr>
              <w:t>, la</w:t>
            </w:r>
            <w:r>
              <w:rPr>
                <w:lang w:val="es-ES"/>
              </w:rPr>
              <w:t>s</w:t>
            </w:r>
            <w:r w:rsidRPr="00490FE2">
              <w:rPr>
                <w:lang w:val="es-ES"/>
              </w:rPr>
              <w:t xml:space="preserve"> </w:t>
            </w:r>
            <w:r w:rsidRPr="00490FE2">
              <w:rPr>
                <w:b/>
                <w:lang w:val="es-ES"/>
              </w:rPr>
              <w:t>Prenda</w:t>
            </w:r>
            <w:r>
              <w:rPr>
                <w:b/>
                <w:lang w:val="es-ES"/>
              </w:rPr>
              <w:t>s</w:t>
            </w:r>
            <w:r w:rsidRPr="00490FE2">
              <w:rPr>
                <w:lang w:val="es-ES"/>
              </w:rPr>
              <w:t>.</w:t>
            </w:r>
          </w:p>
        </w:tc>
        <w:tc>
          <w:tcPr>
            <w:tcW w:w="2500" w:type="pct"/>
            <w:shd w:val="clear" w:color="auto" w:fill="auto"/>
          </w:tcPr>
          <w:p w14:paraId="166184CF" w14:textId="77777777" w:rsidR="000D089E" w:rsidRPr="00596179" w:rsidRDefault="000D089E" w:rsidP="000D089E">
            <w:pPr>
              <w:pStyle w:val="AODocTxtL1"/>
            </w:pPr>
            <w:r w:rsidRPr="00490FE2">
              <w:t xml:space="preserve">Hereinafter, the </w:t>
            </w:r>
            <w:r>
              <w:t xml:space="preserve">Pledge over Quota Shares and the </w:t>
            </w:r>
            <w:r w:rsidRPr="00490FE2">
              <w:t>Pledge</w:t>
            </w:r>
            <w:r>
              <w:t xml:space="preserve"> over Bank Accounts </w:t>
            </w:r>
            <w:r w:rsidRPr="00490FE2">
              <w:t xml:space="preserve">shall be </w:t>
            </w:r>
            <w:r w:rsidRPr="00490FE2">
              <w:rPr>
                <w:rFonts w:eastAsia="Times New Roman"/>
              </w:rPr>
              <w:t>jointly</w:t>
            </w:r>
            <w:r>
              <w:t xml:space="preserve"> referred to as</w:t>
            </w:r>
            <w:r w:rsidRPr="00490FE2">
              <w:t xml:space="preserve"> the </w:t>
            </w:r>
            <w:r w:rsidRPr="00490FE2">
              <w:rPr>
                <w:b/>
              </w:rPr>
              <w:t>Pledge</w:t>
            </w:r>
            <w:r>
              <w:rPr>
                <w:b/>
              </w:rPr>
              <w:t>s</w:t>
            </w:r>
            <w:r w:rsidRPr="00490FE2">
              <w:t>.</w:t>
            </w:r>
          </w:p>
        </w:tc>
      </w:tr>
      <w:tr w:rsidR="000D089E" w:rsidRPr="00596179" w14:paraId="4B36691E"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75CB7FE" w14:textId="77777777" w:rsidR="000D089E" w:rsidRPr="00596179" w:rsidRDefault="000D089E" w:rsidP="000D089E">
            <w:pPr>
              <w:pStyle w:val="AODocTxtL1"/>
              <w:rPr>
                <w:lang w:val="es-ES"/>
              </w:rPr>
            </w:pPr>
            <w:r>
              <w:rPr>
                <w:lang w:val="es-ES"/>
              </w:rPr>
              <w:t>Asimismo</w:t>
            </w:r>
            <w:r w:rsidRPr="00236E5A">
              <w:rPr>
                <w:lang w:val="es-ES"/>
              </w:rPr>
              <w:t>, la Póliza de Prenda sobre Participaciones y la Póliza de Prenda sobre Cuentas serán denominadas</w:t>
            </w:r>
            <w:r>
              <w:rPr>
                <w:lang w:val="es-ES"/>
              </w:rPr>
              <w:t>, conjuntamente</w:t>
            </w:r>
            <w:r w:rsidRPr="00490FE2">
              <w:rPr>
                <w:lang w:val="es-ES"/>
              </w:rPr>
              <w:t>, la</w:t>
            </w:r>
            <w:r>
              <w:rPr>
                <w:lang w:val="es-ES"/>
              </w:rPr>
              <w:t>s</w:t>
            </w:r>
            <w:r w:rsidRPr="00490FE2">
              <w:rPr>
                <w:lang w:val="es-ES"/>
              </w:rPr>
              <w:t xml:space="preserve"> </w:t>
            </w:r>
            <w:r w:rsidRPr="00D95686">
              <w:rPr>
                <w:b/>
                <w:lang w:val="es-ES"/>
              </w:rPr>
              <w:t>Póliza</w:t>
            </w:r>
            <w:r>
              <w:rPr>
                <w:b/>
                <w:lang w:val="es-ES"/>
              </w:rPr>
              <w:t>s</w:t>
            </w:r>
            <w:r w:rsidRPr="00D95686">
              <w:rPr>
                <w:b/>
                <w:lang w:val="es-ES"/>
              </w:rPr>
              <w:t xml:space="preserve"> de Prenda</w:t>
            </w:r>
            <w:r w:rsidRPr="00490FE2">
              <w:rPr>
                <w:lang w:val="es-ES"/>
              </w:rPr>
              <w:t>.</w:t>
            </w:r>
          </w:p>
        </w:tc>
        <w:tc>
          <w:tcPr>
            <w:tcW w:w="2500" w:type="pct"/>
            <w:shd w:val="clear" w:color="auto" w:fill="auto"/>
          </w:tcPr>
          <w:p w14:paraId="0B0B4A84" w14:textId="77777777" w:rsidR="000D089E" w:rsidRPr="00596179" w:rsidRDefault="000D089E" w:rsidP="000D089E">
            <w:pPr>
              <w:pStyle w:val="AODocTxtL1"/>
            </w:pPr>
            <w:r w:rsidRPr="00490FE2">
              <w:t xml:space="preserve">Hereinafter, </w:t>
            </w:r>
            <w:r w:rsidRPr="00236E5A">
              <w:t>the Deed of Pledge over Quotas and Deed of Pledge over Bank Accounts shall</w:t>
            </w:r>
            <w:r w:rsidRPr="00490FE2">
              <w:t xml:space="preserve"> be </w:t>
            </w:r>
            <w:r w:rsidRPr="00490FE2">
              <w:rPr>
                <w:rFonts w:eastAsia="Times New Roman"/>
              </w:rPr>
              <w:t>jointly</w:t>
            </w:r>
            <w:r>
              <w:t xml:space="preserve"> referred to as</w:t>
            </w:r>
            <w:r w:rsidRPr="00490FE2">
              <w:t xml:space="preserve"> the </w:t>
            </w:r>
            <w:r w:rsidRPr="00236E5A">
              <w:rPr>
                <w:b/>
              </w:rPr>
              <w:t xml:space="preserve">Deeds of </w:t>
            </w:r>
            <w:r w:rsidRPr="00490FE2">
              <w:rPr>
                <w:b/>
              </w:rPr>
              <w:t>Pledge</w:t>
            </w:r>
            <w:r w:rsidRPr="00490FE2">
              <w:t>.</w:t>
            </w:r>
          </w:p>
        </w:tc>
      </w:tr>
      <w:tr w:rsidR="000D089E" w:rsidRPr="00596179" w14:paraId="7365DE6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16B8276" w14:textId="39593970" w:rsidR="000D089E" w:rsidRPr="00D95686" w:rsidRDefault="000D089E" w:rsidP="000D089E">
            <w:pPr>
              <w:pStyle w:val="AOA"/>
              <w:widowControl w:val="0"/>
              <w:rPr>
                <w:lang w:val="es-ES"/>
              </w:rPr>
            </w:pPr>
            <w:r>
              <w:rPr>
                <w:lang w:val="es-ES"/>
              </w:rPr>
              <w:t xml:space="preserve">Que, en </w:t>
            </w:r>
            <w:r w:rsidRPr="00236E5A">
              <w:rPr>
                <w:lang w:val="es-ES"/>
              </w:rPr>
              <w:t xml:space="preserve">relación con </w:t>
            </w:r>
            <w:r>
              <w:rPr>
                <w:lang w:val="es-ES"/>
              </w:rPr>
              <w:t xml:space="preserve">la </w:t>
            </w:r>
            <w:r w:rsidRPr="00236E5A">
              <w:rPr>
                <w:lang w:val="es-ES"/>
              </w:rPr>
              <w:t xml:space="preserve">Prenda sobre Participaciones, y a los efectos de asegurar el cumplimiento y ejecución de los términos previstos en la Póliza de Prenda sobre Participaciones, </w:t>
            </w:r>
            <w:r>
              <w:rPr>
                <w:lang w:val="es-ES"/>
              </w:rPr>
              <w:t>Beacon</w:t>
            </w:r>
            <w:r w:rsidRPr="00236E5A">
              <w:rPr>
                <w:lang w:val="es-ES"/>
              </w:rPr>
              <w:t xml:space="preserve"> otorgó el 22 de abril de 2021 a favor del Agente de Garantías un poder irrevocable mediante escritura pública autorizada</w:t>
            </w:r>
            <w:r w:rsidRPr="00D95686">
              <w:rPr>
                <w:lang w:val="es-ES"/>
              </w:rPr>
              <w:t xml:space="preserve"> por el </w:t>
            </w:r>
            <w:r w:rsidRPr="00E53971">
              <w:rPr>
                <w:lang w:val="es-ES"/>
              </w:rPr>
              <w:t xml:space="preserve">Notario </w:t>
            </w:r>
            <w:r>
              <w:rPr>
                <w:lang w:val="es-ES"/>
              </w:rPr>
              <w:t>de Madrid, D. Antonio Luis Reina Gutiérrez,</w:t>
            </w:r>
            <w:r w:rsidRPr="00D95686">
              <w:rPr>
                <w:color w:val="000000" w:themeColor="text1"/>
                <w:lang w:val="es-ES"/>
              </w:rPr>
              <w:t xml:space="preserve"> (tal y como sea modificado, ratificado, extendido o complementado en cada momento,</w:t>
            </w:r>
            <w:r>
              <w:rPr>
                <w:color w:val="000000" w:themeColor="text1"/>
                <w:lang w:val="es-ES"/>
              </w:rPr>
              <w:t xml:space="preserve"> </w:t>
            </w:r>
            <w:r>
              <w:rPr>
                <w:lang w:val="es-ES"/>
              </w:rPr>
              <w:t xml:space="preserve">y, en particular, tal y como el mismo fue ratificado en fecha 4 de noviembre de 2021, </w:t>
            </w:r>
            <w:r w:rsidRPr="00EE4390">
              <w:rPr>
                <w:lang w:val="es-ES"/>
              </w:rPr>
              <w:t>23 de noviembre 2021</w:t>
            </w:r>
            <w:r>
              <w:rPr>
                <w:lang w:val="es-ES"/>
              </w:rPr>
              <w:t xml:space="preserve">,  25 de abril de 2022, 4 de julio de 2023 y el </w:t>
            </w:r>
            <w:r>
              <w:rPr>
                <w:lang w:val="es-ES"/>
              </w:rPr>
              <w:lastRenderedPageBreak/>
              <w:t>15 de abril de 2024, en virtud de escrituras de ratificación otorgadas ante el Notario de Madrid, D. Antonio-Luis Reina Gutierrez con los números 9.297, 9.879 y 3.355 de su protocolo,</w:t>
            </w:r>
            <w:r>
              <w:rPr>
                <w:color w:val="000000" w:themeColor="text1"/>
                <w:lang w:val="es-ES"/>
              </w:rPr>
              <w:t xml:space="preserve"> </w:t>
            </w:r>
            <w:r>
              <w:rPr>
                <w:lang w:val="es-ES"/>
              </w:rPr>
              <w:t>y ante la Notario de Barcelona, Dña. Blanca Pardo García con los números</w:t>
            </w:r>
            <w:r>
              <w:rPr>
                <w:color w:val="000000" w:themeColor="text1"/>
                <w:lang w:val="es-ES"/>
              </w:rPr>
              <w:t xml:space="preserve"> </w:t>
            </w:r>
            <w:r>
              <w:rPr>
                <w:lang w:val="es-ES"/>
              </w:rPr>
              <w:t xml:space="preserve">1.496 y </w:t>
            </w:r>
            <w:r w:rsidRPr="00481523">
              <w:rPr>
                <w:lang w:val="es-ES"/>
              </w:rPr>
              <w:t>942</w:t>
            </w:r>
            <w:r w:rsidR="0069150C">
              <w:rPr>
                <w:lang w:val="es-ES"/>
              </w:rPr>
              <w:t>,</w:t>
            </w:r>
            <w:r>
              <w:rPr>
                <w:lang w:val="es-ES"/>
              </w:rPr>
              <w:t xml:space="preserve"> </w:t>
            </w:r>
            <w:r w:rsidR="0069150C">
              <w:rPr>
                <w:lang w:val="es-ES"/>
              </w:rPr>
              <w:t xml:space="preserve">respectivamente, </w:t>
            </w:r>
            <w:r>
              <w:rPr>
                <w:lang w:val="es-ES"/>
              </w:rPr>
              <w:t>de su protocolo,</w:t>
            </w:r>
            <w:r>
              <w:rPr>
                <w:color w:val="000000" w:themeColor="text1"/>
                <w:lang w:val="es-ES"/>
              </w:rPr>
              <w:t xml:space="preserve"> el</w:t>
            </w:r>
            <w:r w:rsidRPr="00D95686">
              <w:rPr>
                <w:color w:val="000000" w:themeColor="text1"/>
                <w:lang w:val="es-ES"/>
              </w:rPr>
              <w:t xml:space="preserve"> </w:t>
            </w:r>
            <w:r w:rsidRPr="00D95686">
              <w:rPr>
                <w:b/>
                <w:color w:val="000000" w:themeColor="text1"/>
                <w:lang w:val="es-ES"/>
              </w:rPr>
              <w:t>Poder Irrevocable</w:t>
            </w:r>
            <w:r>
              <w:rPr>
                <w:b/>
                <w:color w:val="000000" w:themeColor="text1"/>
                <w:lang w:val="es-ES"/>
              </w:rPr>
              <w:t xml:space="preserve"> de la Prenda sobre Participaciones</w:t>
            </w:r>
            <w:r w:rsidRPr="00D95686">
              <w:rPr>
                <w:color w:val="000000" w:themeColor="text1"/>
                <w:lang w:val="es-ES"/>
              </w:rPr>
              <w:t xml:space="preserve">). </w:t>
            </w:r>
          </w:p>
        </w:tc>
        <w:tc>
          <w:tcPr>
            <w:tcW w:w="2500" w:type="pct"/>
            <w:shd w:val="clear" w:color="auto" w:fill="auto"/>
          </w:tcPr>
          <w:p w14:paraId="1478A530" w14:textId="560894F5" w:rsidR="000D089E" w:rsidRPr="008129E3" w:rsidRDefault="000D089E" w:rsidP="000D089E">
            <w:pPr>
              <w:pStyle w:val="AODocTxt"/>
              <w:numPr>
                <w:ilvl w:val="0"/>
                <w:numId w:val="39"/>
              </w:numPr>
              <w:ind w:hanging="720"/>
              <w:rPr>
                <w:rFonts w:eastAsia="Times New Roman"/>
              </w:rPr>
            </w:pPr>
            <w:r w:rsidRPr="008129E3">
              <w:rPr>
                <w:rFonts w:eastAsia="Times New Roman"/>
              </w:rPr>
              <w:lastRenderedPageBreak/>
              <w:t xml:space="preserve">That, </w:t>
            </w:r>
            <w:r w:rsidRPr="00236E5A">
              <w:rPr>
                <w:rFonts w:eastAsia="Times New Roman"/>
              </w:rPr>
              <w:t xml:space="preserve">in connection with the </w:t>
            </w:r>
            <w:r w:rsidRPr="00236E5A">
              <w:t>Pledge over Quota Shares</w:t>
            </w:r>
            <w:r w:rsidRPr="00236E5A">
              <w:rPr>
                <w:rFonts w:eastAsia="Times New Roman"/>
              </w:rPr>
              <w:t>, and in order to ensure the compliance with and enforcement of the Deed of Pledge</w:t>
            </w:r>
            <w:r>
              <w:rPr>
                <w:rFonts w:eastAsia="Times New Roman"/>
              </w:rPr>
              <w:t xml:space="preserve"> </w:t>
            </w:r>
            <w:r w:rsidRPr="00236E5A">
              <w:t>over Quota Shares</w:t>
            </w:r>
            <w:r w:rsidRPr="00236E5A">
              <w:rPr>
                <w:rFonts w:eastAsia="Times New Roman"/>
              </w:rPr>
              <w:t xml:space="preserve">, </w:t>
            </w:r>
            <w:r>
              <w:t>Beacon granted</w:t>
            </w:r>
            <w:r w:rsidRPr="00236E5A">
              <w:rPr>
                <w:rFonts w:eastAsia="Times New Roman"/>
              </w:rPr>
              <w:t xml:space="preserve"> on 22 April 2021 an irrevocable</w:t>
            </w:r>
            <w:r w:rsidRPr="008129E3">
              <w:rPr>
                <w:rFonts w:eastAsia="Times New Roman"/>
              </w:rPr>
              <w:t xml:space="preserve"> power of attorney in favour of the Security Agent </w:t>
            </w:r>
            <w:r w:rsidRPr="00D95686">
              <w:t>by means of a public deed (</w:t>
            </w:r>
            <w:proofErr w:type="spellStart"/>
            <w:r w:rsidRPr="008129E3">
              <w:rPr>
                <w:i/>
              </w:rPr>
              <w:t>escritura</w:t>
            </w:r>
            <w:proofErr w:type="spellEnd"/>
            <w:r w:rsidRPr="008129E3">
              <w:rPr>
                <w:i/>
              </w:rPr>
              <w:t xml:space="preserve"> </w:t>
            </w:r>
            <w:proofErr w:type="spellStart"/>
            <w:r w:rsidRPr="008129E3">
              <w:rPr>
                <w:i/>
              </w:rPr>
              <w:t>pública</w:t>
            </w:r>
            <w:proofErr w:type="spellEnd"/>
            <w:r w:rsidRPr="00D95686">
              <w:t xml:space="preserve">) granted before the </w:t>
            </w:r>
            <w:r>
              <w:t>Notary of Madrid, Mr. Antonio-Luis Reina Gutierrez,</w:t>
            </w:r>
            <w:r w:rsidRPr="00D95686">
              <w:t xml:space="preserve"> (as amended, ratified, extended or suppl</w:t>
            </w:r>
            <w:r>
              <w:t xml:space="preserve">emented from time to time, and, in particular, as it was ratified by means of a deed of ratification granted on 4 November 2021, 23 November 2021, 25 April 2022 , 4 July 2023 and on 15 April 2024, before the </w:t>
            </w:r>
            <w:r>
              <w:lastRenderedPageBreak/>
              <w:t xml:space="preserve">Notary of Madrid, Mr. Antonio-Luis Reina Gutierrez with numbers 9,297,9,879 and 3,355 of his notarial records, and before the Notary of </w:t>
            </w:r>
            <w:r w:rsidRPr="00E85D0E">
              <w:t>Barcelona</w:t>
            </w:r>
            <w:r>
              <w:t xml:space="preserve">, Ms. </w:t>
            </w:r>
            <w:r w:rsidRPr="0004586B">
              <w:t>Blanca Pardo García</w:t>
            </w:r>
            <w:r>
              <w:t xml:space="preserve"> with numbers</w:t>
            </w:r>
            <w:r w:rsidR="0069150C">
              <w:t xml:space="preserve"> </w:t>
            </w:r>
            <w:r w:rsidRPr="00E85D0E">
              <w:t>1</w:t>
            </w:r>
            <w:r>
              <w:t>,</w:t>
            </w:r>
            <w:r w:rsidRPr="00E85D0E">
              <w:t xml:space="preserve">496 </w:t>
            </w:r>
            <w:r>
              <w:t xml:space="preserve">and </w:t>
            </w:r>
            <w:r w:rsidRPr="00481523">
              <w:t>942</w:t>
            </w:r>
            <w:r w:rsidR="0069150C">
              <w:t>, respectively,</w:t>
            </w:r>
            <w:r>
              <w:t xml:space="preserve"> of her notarial records the </w:t>
            </w:r>
            <w:r w:rsidRPr="008129E3">
              <w:rPr>
                <w:b/>
              </w:rPr>
              <w:t>Irrevocable Power of Attorney</w:t>
            </w:r>
            <w:r>
              <w:rPr>
                <w:b/>
              </w:rPr>
              <w:t xml:space="preserve"> of the Pledge over Quota Shares</w:t>
            </w:r>
            <w:r w:rsidRPr="00D95686">
              <w:t>).</w:t>
            </w:r>
          </w:p>
        </w:tc>
      </w:tr>
      <w:tr w:rsidR="000D089E" w:rsidRPr="00596179" w14:paraId="02136E1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70DED75" w14:textId="78F8DD6E" w:rsidR="000D089E" w:rsidRDefault="000D089E" w:rsidP="000D089E">
            <w:pPr>
              <w:pStyle w:val="AOA"/>
              <w:widowControl w:val="0"/>
              <w:rPr>
                <w:color w:val="000000" w:themeColor="text1"/>
                <w:lang w:val="es-ES"/>
              </w:rPr>
            </w:pPr>
            <w:r>
              <w:rPr>
                <w:lang w:val="es-ES"/>
              </w:rPr>
              <w:lastRenderedPageBreak/>
              <w:t xml:space="preserve">Que, en </w:t>
            </w:r>
            <w:r w:rsidRPr="00236E5A">
              <w:rPr>
                <w:lang w:val="es-ES"/>
              </w:rPr>
              <w:t xml:space="preserve">relación con Prenda sobre </w:t>
            </w:r>
            <w:r>
              <w:rPr>
                <w:lang w:val="es-ES"/>
              </w:rPr>
              <w:t>Cuentas</w:t>
            </w:r>
            <w:r w:rsidRPr="00236E5A">
              <w:rPr>
                <w:lang w:val="es-ES"/>
              </w:rPr>
              <w:t xml:space="preserve">, y a los efectos de asegurar el cumplimiento y ejecución de los términos previstos en la Póliza de Prenda sobre </w:t>
            </w:r>
            <w:r>
              <w:rPr>
                <w:lang w:val="es-ES"/>
              </w:rPr>
              <w:t>Cuentas</w:t>
            </w:r>
            <w:r w:rsidRPr="00236E5A">
              <w:rPr>
                <w:lang w:val="es-ES"/>
              </w:rPr>
              <w:t xml:space="preserve">, </w:t>
            </w:r>
            <w:r>
              <w:rPr>
                <w:lang w:val="es-ES"/>
              </w:rPr>
              <w:t>Beacon Iberia</w:t>
            </w:r>
            <w:r w:rsidRPr="00236E5A">
              <w:rPr>
                <w:lang w:val="es-ES"/>
              </w:rPr>
              <w:t xml:space="preserve"> otorgó el </w:t>
            </w:r>
            <w:r>
              <w:rPr>
                <w:lang w:val="es-ES"/>
              </w:rPr>
              <w:t>1 de marzo de 2022</w:t>
            </w:r>
            <w:r w:rsidRPr="008129E3">
              <w:rPr>
                <w:lang w:val="es-ES"/>
              </w:rPr>
              <w:t xml:space="preserve"> </w:t>
            </w:r>
            <w:r w:rsidRPr="00236E5A">
              <w:rPr>
                <w:lang w:val="es-ES"/>
              </w:rPr>
              <w:t>a favor del Agente de Garantías un poder irrevocable mediante escritura pública autorizada</w:t>
            </w:r>
            <w:r w:rsidRPr="00D95686">
              <w:rPr>
                <w:lang w:val="es-ES"/>
              </w:rPr>
              <w:t xml:space="preserve"> por el </w:t>
            </w:r>
            <w:r w:rsidRPr="00E53971">
              <w:rPr>
                <w:lang w:val="es-ES"/>
              </w:rPr>
              <w:t xml:space="preserve">Notario </w:t>
            </w:r>
            <w:r>
              <w:rPr>
                <w:lang w:val="es-ES"/>
              </w:rPr>
              <w:t xml:space="preserve">de Madrid, D. Antonio Luis Reina Gutiérrez, con el número 1.720 de su protocolo </w:t>
            </w:r>
            <w:r w:rsidRPr="00D95686">
              <w:rPr>
                <w:color w:val="000000" w:themeColor="text1"/>
                <w:lang w:val="es-ES"/>
              </w:rPr>
              <w:t>(tal y como sea modificado, ratificado, extendido o complementado en cada momento</w:t>
            </w:r>
            <w:r>
              <w:rPr>
                <w:color w:val="000000" w:themeColor="text1"/>
                <w:lang w:val="es-ES"/>
              </w:rPr>
              <w:t xml:space="preserve"> </w:t>
            </w:r>
            <w:r>
              <w:rPr>
                <w:lang w:val="es-ES"/>
              </w:rPr>
              <w:t>y, en particular, tal y como el mismo fue ratificado en fecha 25 de abril de 2022, el 4 de julio de 2023 y el 15 de abril de 2024, en virtud de escrituras de ratificación de poderes irrevocables otorgadas ante el Notario de Madrid, D. Antonio-Luis Reina Gutierrez con el número 3.355</w:t>
            </w:r>
            <w:r w:rsidRPr="00305FD1">
              <w:rPr>
                <w:lang w:val="es-ES"/>
              </w:rPr>
              <w:t xml:space="preserve"> </w:t>
            </w:r>
            <w:r>
              <w:rPr>
                <w:lang w:val="es-ES"/>
              </w:rPr>
              <w:t>de su protocolo</w:t>
            </w:r>
            <w:r w:rsidRPr="00D95686">
              <w:rPr>
                <w:color w:val="000000" w:themeColor="text1"/>
                <w:lang w:val="es-ES"/>
              </w:rPr>
              <w:t>,</w:t>
            </w:r>
            <w:r>
              <w:rPr>
                <w:color w:val="000000" w:themeColor="text1"/>
                <w:lang w:val="es-ES"/>
              </w:rPr>
              <w:t xml:space="preserve"> y ante la Notario de Barcelona, </w:t>
            </w:r>
            <w:r>
              <w:rPr>
                <w:lang w:val="es-ES"/>
              </w:rPr>
              <w:t>Dña. Blanca Pardo García con los números 1.496 y 942</w:t>
            </w:r>
            <w:r w:rsidR="00AF2DAD">
              <w:rPr>
                <w:lang w:val="es-ES"/>
              </w:rPr>
              <w:t>, respectivamente,</w:t>
            </w:r>
            <w:r>
              <w:rPr>
                <w:lang w:val="es-ES"/>
              </w:rPr>
              <w:t xml:space="preserve"> de su </w:t>
            </w:r>
            <w:r>
              <w:rPr>
                <w:color w:val="000000" w:themeColor="text1"/>
                <w:lang w:val="es-ES"/>
              </w:rPr>
              <w:t>protocolo, el</w:t>
            </w:r>
            <w:r w:rsidRPr="00D95686">
              <w:rPr>
                <w:color w:val="000000" w:themeColor="text1"/>
                <w:lang w:val="es-ES"/>
              </w:rPr>
              <w:t xml:space="preserve"> </w:t>
            </w:r>
            <w:r w:rsidRPr="00D95686">
              <w:rPr>
                <w:b/>
                <w:color w:val="000000" w:themeColor="text1"/>
                <w:lang w:val="es-ES"/>
              </w:rPr>
              <w:t>Poder Irrevocable</w:t>
            </w:r>
            <w:r>
              <w:rPr>
                <w:b/>
                <w:color w:val="000000" w:themeColor="text1"/>
                <w:lang w:val="es-ES"/>
              </w:rPr>
              <w:t xml:space="preserve"> de la Prenda sobre Cuentas</w:t>
            </w:r>
            <w:r w:rsidRPr="00D95686">
              <w:rPr>
                <w:color w:val="000000" w:themeColor="text1"/>
                <w:lang w:val="es-ES"/>
              </w:rPr>
              <w:t xml:space="preserve">). </w:t>
            </w:r>
          </w:p>
          <w:p w14:paraId="26112092" w14:textId="55C98067" w:rsidR="000D089E" w:rsidRPr="00EF507D" w:rsidRDefault="000D089E" w:rsidP="000D089E">
            <w:pPr>
              <w:pStyle w:val="AODocTxt"/>
              <w:rPr>
                <w:lang w:val="es-ES"/>
              </w:rPr>
            </w:pPr>
          </w:p>
        </w:tc>
        <w:tc>
          <w:tcPr>
            <w:tcW w:w="2500" w:type="pct"/>
            <w:shd w:val="clear" w:color="auto" w:fill="auto"/>
          </w:tcPr>
          <w:p w14:paraId="7A1B3D81" w14:textId="37FF592D" w:rsidR="000D089E" w:rsidRPr="008129E3" w:rsidRDefault="000D089E" w:rsidP="000D089E">
            <w:pPr>
              <w:pStyle w:val="AODocTxt"/>
              <w:numPr>
                <w:ilvl w:val="0"/>
                <w:numId w:val="39"/>
              </w:numPr>
              <w:ind w:hanging="720"/>
              <w:rPr>
                <w:rFonts w:eastAsia="Times New Roman"/>
              </w:rPr>
            </w:pPr>
            <w:r w:rsidRPr="008129E3">
              <w:rPr>
                <w:rFonts w:eastAsia="Times New Roman"/>
              </w:rPr>
              <w:t xml:space="preserve">That, </w:t>
            </w:r>
            <w:r w:rsidRPr="00236E5A">
              <w:rPr>
                <w:rFonts w:eastAsia="Times New Roman"/>
              </w:rPr>
              <w:t xml:space="preserve">in connection with the </w:t>
            </w:r>
            <w:r w:rsidRPr="00236E5A">
              <w:t xml:space="preserve">Pledge over </w:t>
            </w:r>
            <w:r>
              <w:t>Bank Accounts</w:t>
            </w:r>
            <w:r w:rsidRPr="00236E5A">
              <w:rPr>
                <w:rFonts w:eastAsia="Times New Roman"/>
              </w:rPr>
              <w:t>, and in order to ensure the compliance with and enforcement of the Deed of Pledge</w:t>
            </w:r>
            <w:r>
              <w:rPr>
                <w:rFonts w:eastAsia="Times New Roman"/>
              </w:rPr>
              <w:t xml:space="preserve"> </w:t>
            </w:r>
            <w:r w:rsidRPr="00236E5A">
              <w:t xml:space="preserve">over </w:t>
            </w:r>
            <w:r>
              <w:t>Bank Accounts</w:t>
            </w:r>
            <w:r w:rsidRPr="00236E5A">
              <w:rPr>
                <w:rFonts w:eastAsia="Times New Roman"/>
              </w:rPr>
              <w:t xml:space="preserve">, </w:t>
            </w:r>
            <w:r w:rsidRPr="00376353">
              <w:t xml:space="preserve">Beacon Iberia </w:t>
            </w:r>
            <w:r>
              <w:t>granted</w:t>
            </w:r>
            <w:r w:rsidRPr="00236E5A">
              <w:rPr>
                <w:rFonts w:eastAsia="Times New Roman"/>
              </w:rPr>
              <w:t xml:space="preserve"> on </w:t>
            </w:r>
            <w:r>
              <w:rPr>
                <w:rFonts w:eastAsia="Times New Roman"/>
              </w:rPr>
              <w:t>1 March 2022</w:t>
            </w:r>
            <w:r w:rsidRPr="00236E5A">
              <w:rPr>
                <w:rFonts w:eastAsia="Times New Roman"/>
              </w:rPr>
              <w:t xml:space="preserve"> an irrevocable</w:t>
            </w:r>
            <w:r w:rsidRPr="008129E3">
              <w:rPr>
                <w:rFonts w:eastAsia="Times New Roman"/>
              </w:rPr>
              <w:t xml:space="preserve"> power of attorney in favour of the Security Agent </w:t>
            </w:r>
            <w:r w:rsidRPr="00D95686">
              <w:t>by means of a public deed (</w:t>
            </w:r>
            <w:proofErr w:type="spellStart"/>
            <w:r w:rsidRPr="008129E3">
              <w:rPr>
                <w:i/>
              </w:rPr>
              <w:t>escritura</w:t>
            </w:r>
            <w:proofErr w:type="spellEnd"/>
            <w:r w:rsidRPr="008129E3">
              <w:rPr>
                <w:i/>
              </w:rPr>
              <w:t xml:space="preserve"> </w:t>
            </w:r>
            <w:proofErr w:type="spellStart"/>
            <w:r w:rsidRPr="008129E3">
              <w:rPr>
                <w:i/>
              </w:rPr>
              <w:t>pública</w:t>
            </w:r>
            <w:proofErr w:type="spellEnd"/>
            <w:r w:rsidRPr="00D95686">
              <w:t xml:space="preserve">) granted before the </w:t>
            </w:r>
            <w:r>
              <w:t xml:space="preserve">Notary of Madrid, Mr. Antonio-Luis Reina Gutierrez, under number 1,720 of his notarial record </w:t>
            </w:r>
            <w:r w:rsidRPr="00D95686">
              <w:t>(as amended, ratified, extended or suppl</w:t>
            </w:r>
            <w:r>
              <w:t xml:space="preserve">emented from time to time, and, in particular, as it was ratified by means of a deed of ratification of irrevocable powers of attorney granted on 25 April 2022, 4 July 2023 and 15 April 2024 before the Notary of Madrid, Mr. Antonio-Luis Reina Gutierrez with number 3,355 of his notarial records, and before the Notary of Barcelona, Ms. </w:t>
            </w:r>
            <w:r w:rsidRPr="0004586B">
              <w:t>Blanca Pardo García</w:t>
            </w:r>
            <w:r>
              <w:t xml:space="preserve"> with numbers 1,496 and 942</w:t>
            </w:r>
            <w:r w:rsidR="00AF2DAD">
              <w:t>, respectively,</w:t>
            </w:r>
            <w:r>
              <w:t xml:space="preserve"> of his notarial record, the </w:t>
            </w:r>
            <w:r w:rsidRPr="008129E3">
              <w:rPr>
                <w:b/>
              </w:rPr>
              <w:t>Irrevocable Power of Attorney</w:t>
            </w:r>
            <w:r>
              <w:rPr>
                <w:b/>
              </w:rPr>
              <w:t xml:space="preserve"> of the Pledge over Bank Accounts</w:t>
            </w:r>
            <w:r w:rsidRPr="00D95686">
              <w:t xml:space="preserve">). </w:t>
            </w:r>
          </w:p>
        </w:tc>
      </w:tr>
      <w:tr w:rsidR="000D089E" w:rsidRPr="00596179" w14:paraId="6D1D298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E73DF8B" w14:textId="77777777" w:rsidR="000D089E" w:rsidRPr="00E20A28" w:rsidRDefault="000D089E" w:rsidP="000D089E">
            <w:pPr>
              <w:pStyle w:val="AODocTxtL1"/>
              <w:rPr>
                <w:lang w:val="es-ES"/>
              </w:rPr>
            </w:pPr>
            <w:r w:rsidRPr="00E20A28">
              <w:rPr>
                <w:lang w:val="es-ES"/>
              </w:rPr>
              <w:t xml:space="preserve">En adelante, el Poder Irrevocable de la Prenda sobre Participaciones y el Poder Irrevocable de la Prenda sobre Cuentas serán denominados, conjuntamente, los </w:t>
            </w:r>
            <w:r w:rsidRPr="00E20A28">
              <w:rPr>
                <w:b/>
                <w:lang w:val="es-ES"/>
              </w:rPr>
              <w:t>Poderes Irrevocables</w:t>
            </w:r>
            <w:r w:rsidRPr="00E20A28">
              <w:rPr>
                <w:lang w:val="es-ES"/>
              </w:rPr>
              <w:t>.</w:t>
            </w:r>
          </w:p>
        </w:tc>
        <w:tc>
          <w:tcPr>
            <w:tcW w:w="2500" w:type="pct"/>
            <w:shd w:val="clear" w:color="auto" w:fill="auto"/>
          </w:tcPr>
          <w:p w14:paraId="7E53BA40" w14:textId="77777777" w:rsidR="000D089E" w:rsidRPr="00E20A28" w:rsidRDefault="000D089E" w:rsidP="000D089E">
            <w:pPr>
              <w:pStyle w:val="AODocTxtL1"/>
            </w:pPr>
            <w:r w:rsidRPr="00E20A28">
              <w:t xml:space="preserve">Hereinafter, the Irrevocable Power of Attorney of the Pledge over Quota Shares and the Irrevocable Power of Attorney of the Pledge over Bank Accounts shall be </w:t>
            </w:r>
            <w:r w:rsidRPr="00E20A28">
              <w:rPr>
                <w:rFonts w:eastAsia="Times New Roman"/>
              </w:rPr>
              <w:t>jointly</w:t>
            </w:r>
            <w:r w:rsidRPr="00E20A28">
              <w:t xml:space="preserve"> referred to as the </w:t>
            </w:r>
            <w:r w:rsidRPr="00E20A28">
              <w:rPr>
                <w:b/>
              </w:rPr>
              <w:t>Irrevocable Powers of Attorney</w:t>
            </w:r>
            <w:r w:rsidRPr="00E20A28">
              <w:t>.</w:t>
            </w:r>
          </w:p>
        </w:tc>
      </w:tr>
      <w:tr w:rsidR="000D089E" w:rsidRPr="00954395" w14:paraId="5E0CDAF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2CEF8B0" w14:textId="77777777" w:rsidR="000D089E" w:rsidRDefault="000D089E" w:rsidP="000D089E">
            <w:pPr>
              <w:pStyle w:val="AOA"/>
              <w:widowControl w:val="0"/>
              <w:rPr>
                <w:lang w:val="es-ES"/>
              </w:rPr>
            </w:pPr>
            <w:r>
              <w:rPr>
                <w:lang w:val="es-ES"/>
              </w:rPr>
              <w:t xml:space="preserve">Que, el día 3 de noviembre de 2021 se suscribió un nuevo contrato </w:t>
            </w:r>
            <w:r>
              <w:rPr>
                <w:lang w:val="es" w:eastAsia="es-ES"/>
              </w:rPr>
              <w:t>de compra de instrumentos de deuda PP (</w:t>
            </w:r>
            <w:r>
              <w:rPr>
                <w:i/>
                <w:lang w:val="es-ES"/>
              </w:rPr>
              <w:t xml:space="preserve">PP Debt Note </w:t>
            </w:r>
            <w:proofErr w:type="spellStart"/>
            <w:r>
              <w:rPr>
                <w:i/>
                <w:lang w:val="es-ES"/>
              </w:rPr>
              <w:t>Purchase</w:t>
            </w:r>
            <w:proofErr w:type="spellEnd"/>
            <w:r>
              <w:rPr>
                <w:i/>
                <w:lang w:val="es-ES"/>
              </w:rPr>
              <w:t xml:space="preserve"> </w:t>
            </w:r>
            <w:proofErr w:type="spellStart"/>
            <w:r>
              <w:rPr>
                <w:i/>
                <w:lang w:val="es-ES"/>
              </w:rPr>
              <w:t>Agreement</w:t>
            </w:r>
            <w:proofErr w:type="spellEnd"/>
            <w:r w:rsidRPr="004B5454">
              <w:rPr>
                <w:lang w:val="es-ES"/>
              </w:rPr>
              <w:t>),</w:t>
            </w:r>
            <w:r>
              <w:rPr>
                <w:lang w:val="es-ES"/>
              </w:rPr>
              <w:t xml:space="preserve"> </w:t>
            </w:r>
            <w:r w:rsidRPr="0024367D">
              <w:rPr>
                <w:lang w:val="es-ES"/>
              </w:rPr>
              <w:t>sujeto a ley inglesa,</w:t>
            </w:r>
            <w:r>
              <w:rPr>
                <w:lang w:val="es-ES"/>
              </w:rPr>
              <w:t xml:space="preserve"> por, entre otros, Beacon Finco S.À R.L. como Sociedad (</w:t>
            </w:r>
            <w:r w:rsidRPr="004313D6">
              <w:rPr>
                <w:i/>
                <w:lang w:val="es-ES"/>
              </w:rPr>
              <w:t>Company</w:t>
            </w:r>
            <w:r>
              <w:rPr>
                <w:lang w:val="es-ES"/>
              </w:rPr>
              <w:t xml:space="preserve">), ciertas entidades descritas en el mismo como Compradores (Note </w:t>
            </w:r>
            <w:proofErr w:type="spellStart"/>
            <w:r w:rsidRPr="004313D6">
              <w:rPr>
                <w:i/>
                <w:lang w:val="es-ES"/>
              </w:rPr>
              <w:t>Purchasers</w:t>
            </w:r>
            <w:proofErr w:type="spellEnd"/>
            <w:r>
              <w:rPr>
                <w:lang w:val="es-ES"/>
              </w:rPr>
              <w:t xml:space="preserve">) y Kroll Agency Services </w:t>
            </w:r>
            <w:proofErr w:type="spellStart"/>
            <w:r>
              <w:rPr>
                <w:lang w:val="es-ES"/>
              </w:rPr>
              <w:t>Limited</w:t>
            </w:r>
            <w:proofErr w:type="spellEnd"/>
            <w:r>
              <w:rPr>
                <w:lang w:val="es-ES"/>
              </w:rPr>
              <w:t xml:space="preserve"> como Agente Original de pagos y Agente Original de </w:t>
            </w:r>
            <w:r>
              <w:rPr>
                <w:lang w:val="es-ES"/>
              </w:rPr>
              <w:lastRenderedPageBreak/>
              <w:t>Registro (</w:t>
            </w:r>
            <w:r w:rsidRPr="004313D6">
              <w:rPr>
                <w:i/>
                <w:lang w:val="es-ES"/>
              </w:rPr>
              <w:t xml:space="preserve">Original </w:t>
            </w:r>
            <w:proofErr w:type="spellStart"/>
            <w:r w:rsidRPr="004313D6">
              <w:rPr>
                <w:i/>
                <w:lang w:val="es-ES"/>
              </w:rPr>
              <w:t>Paying</w:t>
            </w:r>
            <w:proofErr w:type="spellEnd"/>
            <w:r w:rsidRPr="004313D6">
              <w:rPr>
                <w:i/>
                <w:lang w:val="es-ES"/>
              </w:rPr>
              <w:t xml:space="preserve"> </w:t>
            </w:r>
            <w:proofErr w:type="spellStart"/>
            <w:r w:rsidRPr="004313D6">
              <w:rPr>
                <w:i/>
                <w:lang w:val="es-ES"/>
              </w:rPr>
              <w:t>Agent</w:t>
            </w:r>
            <w:proofErr w:type="spellEnd"/>
            <w:r>
              <w:rPr>
                <w:lang w:val="es-ES"/>
              </w:rPr>
              <w:t xml:space="preserve"> and </w:t>
            </w:r>
            <w:r w:rsidRPr="004313D6">
              <w:rPr>
                <w:i/>
                <w:lang w:val="es-ES"/>
              </w:rPr>
              <w:t>Original Registrar</w:t>
            </w:r>
            <w:r>
              <w:rPr>
                <w:lang w:val="es-ES"/>
              </w:rPr>
              <w:t>)</w:t>
            </w:r>
            <w:r w:rsidRPr="00951498">
              <w:rPr>
                <w:lang w:val="es-ES"/>
              </w:rPr>
              <w:t>,</w:t>
            </w:r>
            <w:r>
              <w:rPr>
                <w:lang w:val="es-ES"/>
              </w:rPr>
              <w:t xml:space="preserve"> en virtud del cual se acordó la emisión de ciertos instrumentos de deuda por importe aproximado de €60</w:t>
            </w:r>
            <w:r w:rsidRPr="00FE2D27">
              <w:rPr>
                <w:lang w:val="es-ES"/>
              </w:rPr>
              <w:t>.000.000</w:t>
            </w:r>
            <w:r>
              <w:rPr>
                <w:lang w:val="es-ES"/>
              </w:rPr>
              <w:t xml:space="preserve"> de principal. </w:t>
            </w:r>
            <w:r w:rsidRPr="00E53971">
              <w:rPr>
                <w:lang w:val="es-ES"/>
              </w:rPr>
              <w:t xml:space="preserve">En adelante, el </w:t>
            </w:r>
            <w:r>
              <w:rPr>
                <w:lang w:val="es-ES"/>
              </w:rPr>
              <w:t xml:space="preserve">nuevo </w:t>
            </w:r>
            <w:r w:rsidRPr="0024367D">
              <w:rPr>
                <w:lang w:val="es-ES"/>
              </w:rPr>
              <w:t xml:space="preserve">contrato de </w:t>
            </w:r>
            <w:r>
              <w:rPr>
                <w:lang w:val="es-ES"/>
              </w:rPr>
              <w:t xml:space="preserve">compra de </w:t>
            </w:r>
            <w:r>
              <w:rPr>
                <w:lang w:val="es" w:eastAsia="es-ES"/>
              </w:rPr>
              <w:t>instrumentos de deuda PP</w:t>
            </w:r>
            <w:r>
              <w:rPr>
                <w:lang w:val="es-ES"/>
              </w:rPr>
              <w:t xml:space="preserve">, junto con cualesquiera documentos que se hubiesen suscrito al amparo </w:t>
            </w:r>
            <w:proofErr w:type="gramStart"/>
            <w:r>
              <w:rPr>
                <w:lang w:val="es-ES"/>
              </w:rPr>
              <w:t>del mismo</w:t>
            </w:r>
            <w:proofErr w:type="gramEnd"/>
            <w:r w:rsidRPr="00E53971">
              <w:rPr>
                <w:lang w:val="es-ES"/>
              </w:rPr>
              <w:t xml:space="preserve">, tal y como </w:t>
            </w:r>
            <w:r>
              <w:rPr>
                <w:lang w:val="es-ES"/>
              </w:rPr>
              <w:t>este</w:t>
            </w:r>
            <w:r w:rsidRPr="00E53971">
              <w:rPr>
                <w:lang w:val="es-ES"/>
              </w:rPr>
              <w:t xml:space="preserve"> sea modificado, extendido, ratificado y/o complementado en cada momento</w:t>
            </w:r>
            <w:r>
              <w:rPr>
                <w:lang w:val="es-ES"/>
              </w:rPr>
              <w:t xml:space="preserve"> </w:t>
            </w:r>
            <w:r w:rsidRPr="00E53971">
              <w:rPr>
                <w:lang w:val="es-ES"/>
              </w:rPr>
              <w:t>será referido como el</w:t>
            </w:r>
            <w:r>
              <w:rPr>
                <w:lang w:val="es-ES"/>
              </w:rPr>
              <w:t xml:space="preserve"> </w:t>
            </w:r>
            <w:r w:rsidRPr="00AA2DE1">
              <w:rPr>
                <w:b/>
                <w:lang w:val="es-ES"/>
              </w:rPr>
              <w:t xml:space="preserve">Contrato de Compra de </w:t>
            </w:r>
            <w:r>
              <w:rPr>
                <w:b/>
                <w:lang w:val="es-ES"/>
              </w:rPr>
              <w:t>Instrumentos de Deuda</w:t>
            </w:r>
            <w:r>
              <w:rPr>
                <w:i/>
                <w:lang w:val="es-ES"/>
              </w:rPr>
              <w:t xml:space="preserve"> </w:t>
            </w:r>
            <w:r w:rsidRPr="00AA2DE1">
              <w:rPr>
                <w:b/>
                <w:lang w:val="es-ES"/>
              </w:rPr>
              <w:t>PP</w:t>
            </w:r>
            <w:r>
              <w:rPr>
                <w:b/>
                <w:lang w:val="es-ES"/>
              </w:rPr>
              <w:t xml:space="preserve"> 2021.</w:t>
            </w:r>
            <w:r>
              <w:rPr>
                <w:lang w:val="es-ES"/>
              </w:rPr>
              <w:t xml:space="preserve"> </w:t>
            </w:r>
          </w:p>
        </w:tc>
        <w:tc>
          <w:tcPr>
            <w:tcW w:w="2500" w:type="pct"/>
            <w:shd w:val="clear" w:color="auto" w:fill="auto"/>
          </w:tcPr>
          <w:p w14:paraId="292726EB" w14:textId="77777777" w:rsidR="000D089E" w:rsidRPr="00954395" w:rsidRDefault="000D089E" w:rsidP="000D089E">
            <w:pPr>
              <w:pStyle w:val="AODocTxt"/>
              <w:numPr>
                <w:ilvl w:val="0"/>
                <w:numId w:val="39"/>
              </w:numPr>
              <w:ind w:hanging="720"/>
              <w:rPr>
                <w:rFonts w:eastAsia="Times New Roman"/>
              </w:rPr>
            </w:pPr>
            <w:r w:rsidRPr="004071D8">
              <w:lastRenderedPageBreak/>
              <w:t xml:space="preserve">That, on </w:t>
            </w:r>
            <w:r>
              <w:t>3 November 2021, a new PP debt purchase agreement</w:t>
            </w:r>
            <w:r w:rsidRPr="004071D8">
              <w:t xml:space="preserve"> </w:t>
            </w:r>
            <w:r>
              <w:t xml:space="preserve">was entered </w:t>
            </w:r>
            <w:r w:rsidRPr="004071D8">
              <w:t xml:space="preserve">into between, among others, </w:t>
            </w:r>
            <w:r w:rsidRPr="004313D6">
              <w:t xml:space="preserve">Beacon Finco S.À R.L. as </w:t>
            </w:r>
            <w:r>
              <w:t xml:space="preserve">the </w:t>
            </w:r>
            <w:r w:rsidRPr="004313D6">
              <w:t>Company</w:t>
            </w:r>
            <w:r>
              <w:t>, certain entities named therein as Note Purchasers and Kroll Agency Services Limited as Original Paying Agent and Original Registrar</w:t>
            </w:r>
            <w:r w:rsidRPr="004071D8">
              <w:rPr>
                <w:rFonts w:eastAsia="Times New Roman"/>
              </w:rPr>
              <w:t xml:space="preserve">, </w:t>
            </w:r>
            <w:r>
              <w:t>by means of which it was agreed the issue of certain n</w:t>
            </w:r>
            <w:r w:rsidRPr="006D6B1B">
              <w:t xml:space="preserve">otes </w:t>
            </w:r>
            <w:r>
              <w:t>for</w:t>
            </w:r>
            <w:r w:rsidRPr="006D6B1B">
              <w:t xml:space="preserve"> the principal amount</w:t>
            </w:r>
            <w:r>
              <w:t xml:space="preserve"> of, approximately,</w:t>
            </w:r>
            <w:r w:rsidRPr="00665592">
              <w:t xml:space="preserve"> </w:t>
            </w:r>
            <w:r w:rsidRPr="006C442F">
              <w:t>€</w:t>
            </w:r>
            <w:r w:rsidRPr="00FE2D27">
              <w:t>60,000,000</w:t>
            </w:r>
            <w:r>
              <w:t>. H</w:t>
            </w:r>
            <w:r w:rsidRPr="00901F23">
              <w:t xml:space="preserve">ereinafter, </w:t>
            </w:r>
            <w:r w:rsidRPr="00901F23">
              <w:lastRenderedPageBreak/>
              <w:t xml:space="preserve">the </w:t>
            </w:r>
            <w:r>
              <w:t xml:space="preserve">new </w:t>
            </w:r>
            <w:r w:rsidRPr="006D6B1B">
              <w:t xml:space="preserve">PP </w:t>
            </w:r>
            <w:r>
              <w:t>debt note purchase agreement</w:t>
            </w:r>
            <w:r w:rsidRPr="00901F23">
              <w:t xml:space="preserve">, </w:t>
            </w:r>
            <w:r>
              <w:t xml:space="preserve">together with any other documents granted under and pursuant to it, </w:t>
            </w:r>
            <w:r w:rsidRPr="00901F23">
              <w:t xml:space="preserve">as it may be amended, extended, ratified and/or </w:t>
            </w:r>
            <w:r>
              <w:t xml:space="preserve">supplemented from time to time, </w:t>
            </w:r>
            <w:r w:rsidRPr="00901F23">
              <w:t xml:space="preserve">shall be referred to as </w:t>
            </w:r>
            <w:r w:rsidRPr="000A7D7B">
              <w:t>the</w:t>
            </w:r>
            <w:r>
              <w:t xml:space="preserve"> </w:t>
            </w:r>
            <w:r w:rsidRPr="003636D4">
              <w:rPr>
                <w:b/>
              </w:rPr>
              <w:t>2021</w:t>
            </w:r>
            <w:r>
              <w:t xml:space="preserve"> </w:t>
            </w:r>
            <w:r w:rsidRPr="00143A3D">
              <w:rPr>
                <w:b/>
              </w:rPr>
              <w:t>PP Debt Note Purchase Agreement</w:t>
            </w:r>
            <w:r>
              <w:t>.</w:t>
            </w:r>
          </w:p>
        </w:tc>
      </w:tr>
      <w:tr w:rsidR="000D089E" w:rsidRPr="00BF2CC1" w14:paraId="0053EC1A"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E3813A9" w14:textId="77777777" w:rsidR="000D089E" w:rsidRPr="00407F45" w:rsidRDefault="000D089E" w:rsidP="000D089E">
            <w:pPr>
              <w:pStyle w:val="AODocTxtL1"/>
              <w:rPr>
                <w:lang w:val="es-ES"/>
              </w:rPr>
            </w:pPr>
            <w:r w:rsidRPr="00407F45">
              <w:rPr>
                <w:lang w:val="es-ES"/>
              </w:rPr>
              <w:lastRenderedPageBreak/>
              <w:t xml:space="preserve">El </w:t>
            </w:r>
            <w:r w:rsidRPr="008F7C2E">
              <w:rPr>
                <w:lang w:val="es" w:eastAsia="es-ES"/>
              </w:rPr>
              <w:t>Contrato de Compra de Instrumentos de Deuda PP</w:t>
            </w:r>
            <w:r>
              <w:rPr>
                <w:lang w:val="es-ES"/>
              </w:rPr>
              <w:t xml:space="preserve"> 2021 fue</w:t>
            </w:r>
            <w:r w:rsidRPr="00407F45">
              <w:rPr>
                <w:lang w:val="es-ES"/>
              </w:rPr>
              <w:t xml:space="preserve"> elevado a público </w:t>
            </w:r>
            <w:r>
              <w:rPr>
                <w:lang w:val="es-ES"/>
              </w:rPr>
              <w:t xml:space="preserve">4 de noviembre de 2021 </w:t>
            </w:r>
            <w:r w:rsidRPr="00407F45">
              <w:rPr>
                <w:lang w:val="es-ES"/>
              </w:rPr>
              <w:t xml:space="preserve">en virtud de </w:t>
            </w:r>
            <w:r>
              <w:rPr>
                <w:lang w:val="es-ES"/>
              </w:rPr>
              <w:t>póliza intervenida</w:t>
            </w:r>
            <w:r w:rsidRPr="00407F45">
              <w:rPr>
                <w:lang w:val="es-ES"/>
              </w:rPr>
              <w:t xml:space="preserve"> </w:t>
            </w:r>
            <w:r>
              <w:rPr>
                <w:lang w:val="es-ES"/>
              </w:rPr>
              <w:t xml:space="preserve">por el </w:t>
            </w:r>
            <w:r w:rsidRPr="00E53971">
              <w:rPr>
                <w:lang w:val="es-ES"/>
              </w:rPr>
              <w:t xml:space="preserve">Notario </w:t>
            </w:r>
            <w:r>
              <w:rPr>
                <w:lang w:val="es-ES"/>
              </w:rPr>
              <w:t>de Madrid, D. Antonio Luis Reina Gutiérrez.</w:t>
            </w:r>
            <w:r w:rsidRPr="00923375">
              <w:rPr>
                <w:b/>
                <w:i/>
                <w:lang w:val="es-ES"/>
              </w:rPr>
              <w:t xml:space="preserve"> </w:t>
            </w:r>
          </w:p>
        </w:tc>
        <w:tc>
          <w:tcPr>
            <w:tcW w:w="2500" w:type="pct"/>
            <w:shd w:val="clear" w:color="auto" w:fill="auto"/>
          </w:tcPr>
          <w:p w14:paraId="38571881" w14:textId="77777777" w:rsidR="000D089E" w:rsidRPr="00407F45" w:rsidRDefault="000D089E" w:rsidP="000D089E">
            <w:pPr>
              <w:pStyle w:val="AODocTxtL1"/>
            </w:pPr>
            <w:r w:rsidRPr="00407F45">
              <w:t xml:space="preserve">The </w:t>
            </w:r>
            <w:r>
              <w:t>2021</w:t>
            </w:r>
            <w:r w:rsidRPr="008F7C2E">
              <w:t xml:space="preserve"> PP Debt Note Purchase Agreement</w:t>
            </w:r>
            <w:r>
              <w:t xml:space="preserve"> was </w:t>
            </w:r>
            <w:r w:rsidRPr="00407F45">
              <w:t xml:space="preserve">raised to the status of public document on </w:t>
            </w:r>
            <w:r>
              <w:t xml:space="preserve">4 November 2021 </w:t>
            </w:r>
            <w:r w:rsidRPr="00407F45">
              <w:t xml:space="preserve">by means of a </w:t>
            </w:r>
            <w:r>
              <w:t>deed</w:t>
            </w:r>
            <w:r w:rsidRPr="00407F45">
              <w:t xml:space="preserve"> </w:t>
            </w:r>
            <w:r>
              <w:t xml:space="preserve">intervened by </w:t>
            </w:r>
            <w:r w:rsidRPr="00407F45">
              <w:t xml:space="preserve">the </w:t>
            </w:r>
            <w:r>
              <w:t>Notary of Madrid, Mr. Antonio-Luis Reina Gutierrez.</w:t>
            </w:r>
            <w:r w:rsidRPr="00923375">
              <w:rPr>
                <w:b/>
                <w:i/>
              </w:rPr>
              <w:t xml:space="preserve"> </w:t>
            </w:r>
          </w:p>
        </w:tc>
      </w:tr>
      <w:tr w:rsidR="000D089E" w:rsidRPr="00BF2CC1" w14:paraId="67DFFA19"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E954FC1" w14:textId="530C3A79" w:rsidR="000D089E" w:rsidRPr="0035388E" w:rsidRDefault="000D089E" w:rsidP="000D089E">
            <w:pPr>
              <w:pStyle w:val="AOA"/>
              <w:widowControl w:val="0"/>
              <w:rPr>
                <w:lang w:val="es-ES"/>
              </w:rPr>
            </w:pPr>
            <w:r w:rsidRPr="0035388E">
              <w:rPr>
                <w:lang w:val="es-ES"/>
              </w:rPr>
              <w:t xml:space="preserve">Que, el día 21 de abril de 2022 se </w:t>
            </w:r>
            <w:r>
              <w:rPr>
                <w:lang w:val="es-ES"/>
              </w:rPr>
              <w:t>suscribió</w:t>
            </w:r>
            <w:r w:rsidRPr="0035388E">
              <w:rPr>
                <w:lang w:val="es-ES"/>
              </w:rPr>
              <w:t xml:space="preserve"> un nuevo contrato </w:t>
            </w:r>
            <w:r w:rsidRPr="0035388E">
              <w:rPr>
                <w:lang w:val="es" w:eastAsia="es-ES"/>
              </w:rPr>
              <w:t>de compra de instrumentos de deuda PP (</w:t>
            </w:r>
            <w:r w:rsidRPr="0035388E">
              <w:rPr>
                <w:i/>
                <w:lang w:val="es-ES"/>
              </w:rPr>
              <w:t xml:space="preserve">PP Debt Note </w:t>
            </w:r>
            <w:proofErr w:type="spellStart"/>
            <w:r w:rsidRPr="0035388E">
              <w:rPr>
                <w:i/>
                <w:lang w:val="es-ES"/>
              </w:rPr>
              <w:t>Purchase</w:t>
            </w:r>
            <w:proofErr w:type="spellEnd"/>
            <w:r w:rsidRPr="0035388E">
              <w:rPr>
                <w:i/>
                <w:lang w:val="es-ES"/>
              </w:rPr>
              <w:t xml:space="preserve"> </w:t>
            </w:r>
            <w:proofErr w:type="spellStart"/>
            <w:r w:rsidRPr="0035388E">
              <w:rPr>
                <w:i/>
                <w:lang w:val="es-ES"/>
              </w:rPr>
              <w:t>Agreement</w:t>
            </w:r>
            <w:proofErr w:type="spellEnd"/>
            <w:r w:rsidRPr="0035388E">
              <w:rPr>
                <w:lang w:val="es-ES"/>
              </w:rPr>
              <w:t>), sujeto a ley inglesa, por, entre otros, Beacon Finco S.À R.L. como Sociedad Emisora (</w:t>
            </w:r>
            <w:proofErr w:type="spellStart"/>
            <w:r w:rsidRPr="0035388E">
              <w:rPr>
                <w:i/>
                <w:lang w:val="es-ES"/>
              </w:rPr>
              <w:t>Issuer</w:t>
            </w:r>
            <w:proofErr w:type="spellEnd"/>
            <w:r w:rsidRPr="0035388E">
              <w:rPr>
                <w:i/>
                <w:lang w:val="es-ES"/>
              </w:rPr>
              <w:t xml:space="preserve"> Company</w:t>
            </w:r>
            <w:r w:rsidRPr="0035388E">
              <w:rPr>
                <w:lang w:val="es-ES"/>
              </w:rPr>
              <w:t xml:space="preserve">), ciertas entidades descritas en el mismo como Compradores (Note </w:t>
            </w:r>
            <w:proofErr w:type="spellStart"/>
            <w:r w:rsidRPr="0035388E">
              <w:rPr>
                <w:i/>
                <w:lang w:val="es-ES"/>
              </w:rPr>
              <w:t>Purchasers</w:t>
            </w:r>
            <w:proofErr w:type="spellEnd"/>
            <w:r w:rsidRPr="0035388E">
              <w:rPr>
                <w:lang w:val="es-ES"/>
              </w:rPr>
              <w:t xml:space="preserve">) y Beacon Rail Leasing S.À R.L. como Agente de Garantías del Grupo, en virtud del cual se ha acordado la emisión de ciertos instrumentos de deuda por importe de 65.000.000 € de principal. En adelante, el nuevo contrato de compra de instrumentos de deuda PP, junto con cualesquiera documentos que se hubiesen suscrito al amparo </w:t>
            </w:r>
            <w:proofErr w:type="gramStart"/>
            <w:r w:rsidRPr="0035388E">
              <w:rPr>
                <w:lang w:val="es-ES"/>
              </w:rPr>
              <w:t>del mismo</w:t>
            </w:r>
            <w:proofErr w:type="gramEnd"/>
            <w:r w:rsidRPr="0035388E">
              <w:rPr>
                <w:lang w:val="es-ES"/>
              </w:rPr>
              <w:t xml:space="preserve">, tal y como este sea modificado, extendido, ratificado y/o complementado en cada momento será referido como el </w:t>
            </w:r>
            <w:r w:rsidRPr="0035388E">
              <w:rPr>
                <w:b/>
                <w:lang w:val="es-ES"/>
              </w:rPr>
              <w:t>Contrato de Compra de Instrumentos de Deuda PP 2022</w:t>
            </w:r>
            <w:r w:rsidRPr="0035388E">
              <w:rPr>
                <w:lang w:val="es-ES"/>
              </w:rPr>
              <w:t xml:space="preserve">. </w:t>
            </w:r>
          </w:p>
        </w:tc>
        <w:tc>
          <w:tcPr>
            <w:tcW w:w="2500" w:type="pct"/>
            <w:shd w:val="clear" w:color="auto" w:fill="auto"/>
          </w:tcPr>
          <w:p w14:paraId="31215C55" w14:textId="172C076E" w:rsidR="000D089E" w:rsidRPr="0035388E" w:rsidRDefault="000D089E" w:rsidP="000D089E">
            <w:pPr>
              <w:pStyle w:val="AODocTxt"/>
              <w:numPr>
                <w:ilvl w:val="0"/>
                <w:numId w:val="39"/>
              </w:numPr>
              <w:ind w:hanging="720"/>
            </w:pPr>
            <w:r w:rsidRPr="0035388E">
              <w:t xml:space="preserve">That, on 21 April 2022, a new PP debt purchase agreement </w:t>
            </w:r>
            <w:r>
              <w:t>was</w:t>
            </w:r>
            <w:r w:rsidRPr="0035388E">
              <w:t xml:space="preserve"> entered into between, among others, Beacon Finco S.À R.L. as the Issuer Company, certain entities named therein as Note Purchasers and Beacon Rail Leasing S.À R.L as Security Group Agent</w:t>
            </w:r>
            <w:r w:rsidRPr="0035388E">
              <w:rPr>
                <w:rFonts w:eastAsia="Times New Roman"/>
              </w:rPr>
              <w:t xml:space="preserve">, </w:t>
            </w:r>
            <w:r w:rsidRPr="0035388E">
              <w:t xml:space="preserve">by means of which it was agreed the issue of certain notes for the principal amount of, 65,000,000 €. Hereinafter, the new PP debt note purchase agreement, together with any other documents granted under and pursuant to it, as it may be amended, extended, ratified and/or supplemented from time to time, shall be referred to as the </w:t>
            </w:r>
            <w:r w:rsidRPr="0035388E">
              <w:rPr>
                <w:b/>
              </w:rPr>
              <w:t>2022</w:t>
            </w:r>
            <w:r w:rsidRPr="0035388E">
              <w:t xml:space="preserve"> </w:t>
            </w:r>
            <w:r w:rsidRPr="0035388E">
              <w:rPr>
                <w:b/>
              </w:rPr>
              <w:t>PP Debt Note Purchase Agreement</w:t>
            </w:r>
            <w:r w:rsidRPr="0035388E">
              <w:t>.</w:t>
            </w:r>
          </w:p>
        </w:tc>
      </w:tr>
      <w:tr w:rsidR="000D089E" w:rsidRPr="00BF2CC1" w14:paraId="420D01E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68A8D64" w14:textId="0F25C7C7" w:rsidR="000D089E" w:rsidRPr="0035388E" w:rsidRDefault="000D089E" w:rsidP="000D089E">
            <w:pPr>
              <w:pStyle w:val="AODocTxtL1"/>
              <w:rPr>
                <w:lang w:val="es-ES"/>
              </w:rPr>
            </w:pPr>
            <w:r w:rsidRPr="0035388E">
              <w:rPr>
                <w:lang w:val="es-ES"/>
              </w:rPr>
              <w:t xml:space="preserve">El </w:t>
            </w:r>
            <w:r w:rsidRPr="0035388E">
              <w:rPr>
                <w:lang w:val="es" w:eastAsia="es-ES"/>
              </w:rPr>
              <w:t>Contrato de Compra de Instrumentos de Deuda PP</w:t>
            </w:r>
            <w:r w:rsidRPr="0035388E">
              <w:rPr>
                <w:lang w:val="es-ES"/>
              </w:rPr>
              <w:t xml:space="preserve"> 2022 fue elevado a público el día 25 de abril de 2022 en virtud de póliza intervenida por el </w:t>
            </w:r>
            <w:r w:rsidRPr="00E53971">
              <w:rPr>
                <w:lang w:val="es-ES"/>
              </w:rPr>
              <w:t xml:space="preserve">Notario </w:t>
            </w:r>
            <w:r>
              <w:rPr>
                <w:lang w:val="es-ES"/>
              </w:rPr>
              <w:t>de Madrid, D. Antonio Luis Reina Gutiérrez,</w:t>
            </w:r>
            <w:r w:rsidRPr="0035388E">
              <w:rPr>
                <w:lang w:val="es-ES"/>
              </w:rPr>
              <w:t xml:space="preserve"> con el número 708 de su libro registro de operaciones.</w:t>
            </w:r>
            <w:r w:rsidRPr="0035388E">
              <w:rPr>
                <w:b/>
                <w:i/>
                <w:lang w:val="es-ES"/>
              </w:rPr>
              <w:t xml:space="preserve"> </w:t>
            </w:r>
          </w:p>
        </w:tc>
        <w:tc>
          <w:tcPr>
            <w:tcW w:w="2500" w:type="pct"/>
            <w:shd w:val="clear" w:color="auto" w:fill="auto"/>
          </w:tcPr>
          <w:p w14:paraId="5C5EF5EA" w14:textId="376DD557" w:rsidR="000D089E" w:rsidRPr="0035388E" w:rsidRDefault="000D089E" w:rsidP="000D089E">
            <w:pPr>
              <w:pStyle w:val="AODocTxtL1"/>
            </w:pPr>
            <w:r w:rsidRPr="0035388E">
              <w:t xml:space="preserve">The 2022 PP Debt Note Purchase Agreement was raised to the status of public document on 25 April 2022 by means of a deed intervened by the </w:t>
            </w:r>
            <w:r>
              <w:t xml:space="preserve">Notary of Madrid, Mr. Antonio-Luis Reina Gutierrez, </w:t>
            </w:r>
            <w:r w:rsidRPr="0035388E">
              <w:t>under number 708 of his notarial records.</w:t>
            </w:r>
            <w:r w:rsidRPr="0035388E">
              <w:rPr>
                <w:b/>
                <w:i/>
              </w:rPr>
              <w:t xml:space="preserve"> </w:t>
            </w:r>
          </w:p>
        </w:tc>
      </w:tr>
      <w:tr w:rsidR="000D089E" w:rsidRPr="00BF2CC1" w14:paraId="122E7A7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80DCF7C" w14:textId="3B8CAD72" w:rsidR="000D089E" w:rsidRPr="000D3E9E" w:rsidRDefault="000D089E" w:rsidP="000D089E">
            <w:pPr>
              <w:pStyle w:val="AOA"/>
              <w:widowControl w:val="0"/>
              <w:rPr>
                <w:lang w:val="es-ES"/>
              </w:rPr>
            </w:pPr>
            <w:r w:rsidRPr="000D3E9E">
              <w:rPr>
                <w:lang w:val="es-ES"/>
              </w:rPr>
              <w:t xml:space="preserve">Que, el día </w:t>
            </w:r>
            <w:r>
              <w:rPr>
                <w:lang w:val="es-ES"/>
              </w:rPr>
              <w:t>30</w:t>
            </w:r>
            <w:r w:rsidRPr="000D3E9E">
              <w:rPr>
                <w:lang w:val="es-ES"/>
              </w:rPr>
              <w:t xml:space="preserve"> de </w:t>
            </w:r>
            <w:r>
              <w:rPr>
                <w:lang w:val="es-ES"/>
              </w:rPr>
              <w:t xml:space="preserve">junio </w:t>
            </w:r>
            <w:r w:rsidRPr="000D3E9E">
              <w:rPr>
                <w:lang w:val="es-ES"/>
              </w:rPr>
              <w:t xml:space="preserve">de 2023 </w:t>
            </w:r>
            <w:r>
              <w:rPr>
                <w:lang w:val="es-ES"/>
              </w:rPr>
              <w:t>se suscribió</w:t>
            </w:r>
            <w:r w:rsidRPr="000D3E9E">
              <w:rPr>
                <w:lang w:val="es-ES"/>
              </w:rPr>
              <w:t xml:space="preserve"> un </w:t>
            </w:r>
            <w:r w:rsidRPr="000D3E9E">
              <w:rPr>
                <w:lang w:val="es" w:eastAsia="es-ES"/>
              </w:rPr>
              <w:t>contrato de liquidez (</w:t>
            </w:r>
            <w:proofErr w:type="spellStart"/>
            <w:r w:rsidRPr="000D3E9E">
              <w:rPr>
                <w:i/>
                <w:lang w:val="es-ES"/>
              </w:rPr>
              <w:t>Liquidity</w:t>
            </w:r>
            <w:proofErr w:type="spellEnd"/>
            <w:r w:rsidRPr="000D3E9E">
              <w:rPr>
                <w:i/>
                <w:lang w:val="es-ES"/>
              </w:rPr>
              <w:t xml:space="preserve"> </w:t>
            </w:r>
            <w:proofErr w:type="spellStart"/>
            <w:r w:rsidRPr="000D3E9E">
              <w:rPr>
                <w:i/>
                <w:lang w:val="es-ES"/>
              </w:rPr>
              <w:t>Facility</w:t>
            </w:r>
            <w:proofErr w:type="spellEnd"/>
            <w:r w:rsidRPr="000D3E9E">
              <w:rPr>
                <w:i/>
                <w:lang w:val="es-ES"/>
              </w:rPr>
              <w:t xml:space="preserve"> </w:t>
            </w:r>
            <w:proofErr w:type="spellStart"/>
            <w:r w:rsidRPr="000D3E9E">
              <w:rPr>
                <w:i/>
                <w:lang w:val="es-ES"/>
              </w:rPr>
              <w:t>Agreement</w:t>
            </w:r>
            <w:proofErr w:type="spellEnd"/>
            <w:r w:rsidRPr="000D3E9E">
              <w:rPr>
                <w:lang w:val="es-ES"/>
              </w:rPr>
              <w:t>), por importe máximo agregado de €</w:t>
            </w:r>
            <w:r>
              <w:rPr>
                <w:lang w:val="es-ES"/>
              </w:rPr>
              <w:t>75</w:t>
            </w:r>
            <w:r w:rsidRPr="000D3E9E">
              <w:rPr>
                <w:lang w:val="es-ES"/>
              </w:rPr>
              <w:t xml:space="preserve">.000.000 sujeto a ley inglesa, por, </w:t>
            </w:r>
            <w:r w:rsidRPr="000D3E9E">
              <w:rPr>
                <w:lang w:val="es-ES"/>
              </w:rPr>
              <w:lastRenderedPageBreak/>
              <w:t>entre otros, Beacon Finco S.À R.L. como Emisora (</w:t>
            </w:r>
            <w:proofErr w:type="spellStart"/>
            <w:r w:rsidRPr="000D3E9E">
              <w:rPr>
                <w:i/>
                <w:lang w:val="es-ES"/>
              </w:rPr>
              <w:t>Issuer</w:t>
            </w:r>
            <w:proofErr w:type="spellEnd"/>
            <w:r>
              <w:rPr>
                <w:lang w:val="es-ES"/>
              </w:rPr>
              <w:t>), KfW IPEX</w:t>
            </w:r>
            <w:r w:rsidRPr="000D3E9E">
              <w:rPr>
                <w:lang w:val="es-ES"/>
              </w:rPr>
              <w:t xml:space="preserve">-Bank </w:t>
            </w:r>
            <w:proofErr w:type="spellStart"/>
            <w:r w:rsidRPr="000D3E9E">
              <w:rPr>
                <w:lang w:val="es-ES"/>
              </w:rPr>
              <w:t>GmbH</w:t>
            </w:r>
            <w:proofErr w:type="spellEnd"/>
            <w:r w:rsidRPr="000D3E9E">
              <w:rPr>
                <w:lang w:val="es-ES"/>
              </w:rPr>
              <w:t xml:space="preserve"> como entidad coordinadora (</w:t>
            </w:r>
            <w:r w:rsidRPr="000D3E9E">
              <w:rPr>
                <w:i/>
                <w:lang w:val="es-ES"/>
              </w:rPr>
              <w:t xml:space="preserve">LF </w:t>
            </w:r>
            <w:proofErr w:type="spellStart"/>
            <w:r w:rsidRPr="000D3E9E">
              <w:rPr>
                <w:i/>
                <w:lang w:val="es-ES"/>
              </w:rPr>
              <w:t>Arranger</w:t>
            </w:r>
            <w:proofErr w:type="spellEnd"/>
            <w:r w:rsidRPr="000D3E9E">
              <w:rPr>
                <w:lang w:val="es-ES"/>
              </w:rPr>
              <w:t>)</w:t>
            </w:r>
            <w:r>
              <w:rPr>
                <w:lang w:val="es-ES"/>
              </w:rPr>
              <w:t xml:space="preserve"> y </w:t>
            </w:r>
            <w:r w:rsidRPr="000D3E9E">
              <w:rPr>
                <w:lang w:val="es-ES"/>
              </w:rPr>
              <w:t>entidad financiador</w:t>
            </w:r>
            <w:r>
              <w:rPr>
                <w:lang w:val="es-ES"/>
              </w:rPr>
              <w:t>a</w:t>
            </w:r>
            <w:r w:rsidRPr="000D3E9E">
              <w:rPr>
                <w:lang w:val="es-ES"/>
              </w:rPr>
              <w:t xml:space="preserve"> LF orig</w:t>
            </w:r>
            <w:r>
              <w:rPr>
                <w:lang w:val="es-ES"/>
              </w:rPr>
              <w:t>inal</w:t>
            </w:r>
            <w:r w:rsidRPr="000D3E9E">
              <w:rPr>
                <w:lang w:val="es-ES"/>
              </w:rPr>
              <w:t xml:space="preserve"> (</w:t>
            </w:r>
            <w:r w:rsidRPr="000D3E9E">
              <w:rPr>
                <w:i/>
                <w:lang w:val="es-ES"/>
              </w:rPr>
              <w:t>Original LF Lender</w:t>
            </w:r>
            <w:r w:rsidRPr="000D3E9E">
              <w:rPr>
                <w:lang w:val="es-ES"/>
              </w:rPr>
              <w:t>), Beacon Rail Leasing S.À R.L. como Agente de Garantías del Grupo (</w:t>
            </w:r>
            <w:r w:rsidRPr="000D3E9E">
              <w:rPr>
                <w:i/>
                <w:lang w:val="es-ES"/>
              </w:rPr>
              <w:t xml:space="preserve">Security </w:t>
            </w:r>
            <w:proofErr w:type="spellStart"/>
            <w:r w:rsidRPr="000D3E9E">
              <w:rPr>
                <w:i/>
                <w:lang w:val="es-ES"/>
              </w:rPr>
              <w:t>Group</w:t>
            </w:r>
            <w:proofErr w:type="spellEnd"/>
            <w:r w:rsidRPr="000D3E9E">
              <w:rPr>
                <w:i/>
                <w:lang w:val="es-ES"/>
              </w:rPr>
              <w:t xml:space="preserve"> </w:t>
            </w:r>
            <w:proofErr w:type="spellStart"/>
            <w:r w:rsidRPr="000D3E9E">
              <w:rPr>
                <w:i/>
                <w:lang w:val="es-ES"/>
              </w:rPr>
              <w:t>Agent</w:t>
            </w:r>
            <w:proofErr w:type="spellEnd"/>
            <w:r w:rsidRPr="000D3E9E">
              <w:rPr>
                <w:lang w:val="es-ES"/>
              </w:rPr>
              <w:t xml:space="preserve">) </w:t>
            </w:r>
            <w:r>
              <w:rPr>
                <w:lang w:val="es-ES"/>
              </w:rPr>
              <w:t>y el A</w:t>
            </w:r>
            <w:r w:rsidRPr="000D3E9E">
              <w:rPr>
                <w:lang w:val="es-ES"/>
              </w:rPr>
              <w:t>gente LF</w:t>
            </w:r>
            <w:r>
              <w:rPr>
                <w:lang w:val="es-ES"/>
              </w:rPr>
              <w:t xml:space="preserve">. </w:t>
            </w:r>
            <w:r w:rsidRPr="000D3E9E">
              <w:rPr>
                <w:lang w:val="es-ES"/>
              </w:rPr>
              <w:t xml:space="preserve">En adelante, el </w:t>
            </w:r>
            <w:r w:rsidRPr="000D3E9E">
              <w:rPr>
                <w:lang w:val="es" w:eastAsia="es-ES"/>
              </w:rPr>
              <w:t>contrato de liquidez</w:t>
            </w:r>
            <w:r w:rsidRPr="000D3E9E">
              <w:rPr>
                <w:lang w:val="es-ES"/>
              </w:rPr>
              <w:t xml:space="preserve">, tal y como el mismo sea modificado, extendido, ratificado y/o complementado en cada momento, </w:t>
            </w:r>
            <w:r>
              <w:rPr>
                <w:lang w:val="es-ES"/>
              </w:rPr>
              <w:t xml:space="preserve">y en </w:t>
            </w:r>
            <w:proofErr w:type="gramStart"/>
            <w:r>
              <w:rPr>
                <w:lang w:val="es-ES"/>
              </w:rPr>
              <w:t>particular</w:t>
            </w:r>
            <w:proofErr w:type="gramEnd"/>
            <w:r>
              <w:rPr>
                <w:lang w:val="es-ES"/>
              </w:rPr>
              <w:t xml:space="preserve"> pero sin limitación, en virtud </w:t>
            </w:r>
            <w:r w:rsidRPr="005465BE">
              <w:rPr>
                <w:lang w:val="es-ES"/>
              </w:rPr>
              <w:t xml:space="preserve">del Contrato de Novación del </w:t>
            </w:r>
            <w:r w:rsidRPr="005465BE">
              <w:rPr>
                <w:lang w:val="es-ES" w:eastAsia="es-ES"/>
              </w:rPr>
              <w:t>Contrato de Liquidez 2023</w:t>
            </w:r>
            <w:r w:rsidRPr="005465BE">
              <w:rPr>
                <w:lang w:val="es-ES"/>
              </w:rPr>
              <w:t>, tal y como dicho término se define a</w:t>
            </w:r>
            <w:r>
              <w:rPr>
                <w:lang w:val="es-ES"/>
              </w:rPr>
              <w:t xml:space="preserve"> continuación, </w:t>
            </w:r>
            <w:r w:rsidRPr="000D3E9E">
              <w:rPr>
                <w:lang w:val="es-ES"/>
              </w:rPr>
              <w:t xml:space="preserve">será referido como el </w:t>
            </w:r>
            <w:r w:rsidRPr="000D3E9E">
              <w:rPr>
                <w:b/>
                <w:lang w:val="es-ES" w:eastAsia="es-ES"/>
              </w:rPr>
              <w:t>C</w:t>
            </w:r>
            <w:proofErr w:type="spellStart"/>
            <w:r w:rsidRPr="000D3E9E">
              <w:rPr>
                <w:b/>
                <w:lang w:val="es" w:eastAsia="es-ES"/>
              </w:rPr>
              <w:t>ontrato</w:t>
            </w:r>
            <w:proofErr w:type="spellEnd"/>
            <w:r w:rsidRPr="000D3E9E">
              <w:rPr>
                <w:b/>
                <w:lang w:val="es" w:eastAsia="es-ES"/>
              </w:rPr>
              <w:t xml:space="preserve"> de Liquidez 2023</w:t>
            </w:r>
            <w:r w:rsidRPr="000D3E9E">
              <w:rPr>
                <w:lang w:val="es-ES"/>
              </w:rPr>
              <w:t>.</w:t>
            </w:r>
          </w:p>
        </w:tc>
        <w:tc>
          <w:tcPr>
            <w:tcW w:w="2500" w:type="pct"/>
            <w:shd w:val="clear" w:color="auto" w:fill="auto"/>
          </w:tcPr>
          <w:p w14:paraId="14DD8B1C" w14:textId="0D554654" w:rsidR="000D089E" w:rsidRPr="000D3E9E" w:rsidRDefault="000D089E" w:rsidP="000D089E">
            <w:pPr>
              <w:pStyle w:val="AODocTxt"/>
              <w:numPr>
                <w:ilvl w:val="0"/>
                <w:numId w:val="39"/>
              </w:numPr>
              <w:ind w:hanging="720"/>
            </w:pPr>
            <w:r w:rsidRPr="000D3E9E">
              <w:lastRenderedPageBreak/>
              <w:t xml:space="preserve">That, on </w:t>
            </w:r>
            <w:r>
              <w:t xml:space="preserve">30 June </w:t>
            </w:r>
            <w:r w:rsidRPr="000D3E9E">
              <w:t xml:space="preserve">2023, an English law liquidity facility agreement for a maximum </w:t>
            </w:r>
            <w:r w:rsidRPr="000D3E9E">
              <w:rPr>
                <w:lang w:eastAsia="en-GB" w:bidi="en-GB"/>
              </w:rPr>
              <w:t>aggregate amount</w:t>
            </w:r>
            <w:r w:rsidRPr="000D3E9E">
              <w:t xml:space="preserve"> of €</w:t>
            </w:r>
            <w:r>
              <w:t>75</w:t>
            </w:r>
            <w:r w:rsidRPr="000D3E9E">
              <w:t xml:space="preserve">,000,000 was entered into between, </w:t>
            </w:r>
            <w:r w:rsidRPr="0035388E">
              <w:t xml:space="preserve">among others, Beacon </w:t>
            </w:r>
            <w:r>
              <w:lastRenderedPageBreak/>
              <w:t xml:space="preserve">Finco </w:t>
            </w:r>
            <w:proofErr w:type="spellStart"/>
            <w:r>
              <w:t>S.à</w:t>
            </w:r>
            <w:proofErr w:type="spellEnd"/>
            <w:r>
              <w:t xml:space="preserve"> </w:t>
            </w:r>
            <w:proofErr w:type="spellStart"/>
            <w:r>
              <w:t>r.l</w:t>
            </w:r>
            <w:proofErr w:type="spellEnd"/>
            <w:r>
              <w:t>., as the Issuer, KfW IPEX</w:t>
            </w:r>
            <w:r w:rsidRPr="0035388E">
              <w:t xml:space="preserve">-Bank GmbH as LF Arranger, </w:t>
            </w:r>
            <w:r>
              <w:t xml:space="preserve">and </w:t>
            </w:r>
            <w:r w:rsidRPr="0035388E">
              <w:t xml:space="preserve">as Original LF Lender, Beacon Rail Leasing </w:t>
            </w:r>
            <w:proofErr w:type="spellStart"/>
            <w:r w:rsidRPr="0035388E">
              <w:t>S.à</w:t>
            </w:r>
            <w:proofErr w:type="spellEnd"/>
            <w:r w:rsidRPr="0035388E">
              <w:t xml:space="preserve"> </w:t>
            </w:r>
            <w:proofErr w:type="spellStart"/>
            <w:r w:rsidRPr="0035388E">
              <w:t>r.l</w:t>
            </w:r>
            <w:proofErr w:type="spellEnd"/>
            <w:r w:rsidRPr="0035388E">
              <w:t xml:space="preserve">. as the Security Group Agent and </w:t>
            </w:r>
            <w:r>
              <w:t>the LF Agent.</w:t>
            </w:r>
            <w:r w:rsidRPr="0035388E">
              <w:t xml:space="preserve">  Hereinafter, the liquidity facility agreement</w:t>
            </w:r>
            <w:r w:rsidRPr="000D3E9E">
              <w:t>, as it may be amended, extended, ratified and/or supplemented from time to time,</w:t>
            </w:r>
            <w:r>
              <w:t xml:space="preserve"> </w:t>
            </w:r>
            <w:proofErr w:type="gramStart"/>
            <w:r>
              <w:t>and in particular, but</w:t>
            </w:r>
            <w:proofErr w:type="gramEnd"/>
            <w:r>
              <w:t xml:space="preserve"> without limitation, by </w:t>
            </w:r>
            <w:r w:rsidRPr="005465BE">
              <w:t>Amendment to the 2023 Liquidity Facility Agreement</w:t>
            </w:r>
            <w:r>
              <w:t xml:space="preserve">, as this term is defined </w:t>
            </w:r>
            <w:proofErr w:type="gramStart"/>
            <w:r>
              <w:t xml:space="preserve">below, </w:t>
            </w:r>
            <w:r w:rsidRPr="000D3E9E">
              <w:t xml:space="preserve"> shall</w:t>
            </w:r>
            <w:proofErr w:type="gramEnd"/>
            <w:r w:rsidRPr="000D3E9E">
              <w:t xml:space="preserve"> be referred to as the</w:t>
            </w:r>
            <w:r w:rsidRPr="000D3E9E">
              <w:rPr>
                <w:i/>
              </w:rPr>
              <w:t xml:space="preserve"> </w:t>
            </w:r>
            <w:r w:rsidRPr="000D3E9E">
              <w:rPr>
                <w:b/>
              </w:rPr>
              <w:t>2023 Liquidity Facility Agreement</w:t>
            </w:r>
            <w:r w:rsidRPr="000D3E9E">
              <w:t>.</w:t>
            </w:r>
          </w:p>
        </w:tc>
      </w:tr>
      <w:tr w:rsidR="000D089E" w:rsidRPr="00BF2CC1" w14:paraId="6C480DD8"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C1C8058" w14:textId="6ECA7985" w:rsidR="000D089E" w:rsidRPr="005465BE" w:rsidRDefault="000D089E" w:rsidP="000D089E">
            <w:pPr>
              <w:pStyle w:val="AODocTxtL1"/>
              <w:rPr>
                <w:lang w:val="es-ES"/>
              </w:rPr>
            </w:pPr>
            <w:r w:rsidRPr="000D3E9E">
              <w:rPr>
                <w:lang w:val="es-ES"/>
              </w:rPr>
              <w:lastRenderedPageBreak/>
              <w:t xml:space="preserve">El </w:t>
            </w:r>
            <w:r w:rsidRPr="000D3E9E">
              <w:rPr>
                <w:lang w:val="es-ES" w:eastAsia="es-ES"/>
              </w:rPr>
              <w:t>C</w:t>
            </w:r>
            <w:proofErr w:type="spellStart"/>
            <w:r w:rsidRPr="000D3E9E">
              <w:rPr>
                <w:lang w:val="es" w:eastAsia="es-ES"/>
              </w:rPr>
              <w:t>ontrato</w:t>
            </w:r>
            <w:proofErr w:type="spellEnd"/>
            <w:r w:rsidRPr="000D3E9E">
              <w:rPr>
                <w:lang w:val="es" w:eastAsia="es-ES"/>
              </w:rPr>
              <w:t xml:space="preserve"> de Liquidez 2023 </w:t>
            </w:r>
            <w:r>
              <w:rPr>
                <w:lang w:val="es-ES"/>
              </w:rPr>
              <w:t>fue</w:t>
            </w:r>
            <w:r w:rsidRPr="000D3E9E">
              <w:rPr>
                <w:lang w:val="es-ES"/>
              </w:rPr>
              <w:t xml:space="preserve"> elevado a público</w:t>
            </w:r>
            <w:r>
              <w:rPr>
                <w:lang w:val="es-ES"/>
              </w:rPr>
              <w:t xml:space="preserve"> parcialmente</w:t>
            </w:r>
            <w:r w:rsidRPr="000D3E9E">
              <w:rPr>
                <w:lang w:val="es-ES"/>
              </w:rPr>
              <w:t xml:space="preserve"> en </w:t>
            </w:r>
            <w:r>
              <w:rPr>
                <w:lang w:val="es-ES"/>
              </w:rPr>
              <w:t>es</w:t>
            </w:r>
            <w:r w:rsidRPr="000D3E9E">
              <w:rPr>
                <w:lang w:val="es-ES"/>
              </w:rPr>
              <w:t xml:space="preserve">a misma fecha en virtud de póliza intervenida por </w:t>
            </w:r>
            <w:r w:rsidR="00FD3228">
              <w:rPr>
                <w:lang w:val="es-ES"/>
              </w:rPr>
              <w:t>la</w:t>
            </w:r>
            <w:r w:rsidRPr="000D3E9E">
              <w:rPr>
                <w:lang w:val="es-ES"/>
              </w:rPr>
              <w:t xml:space="preserve"> </w:t>
            </w:r>
            <w:r w:rsidRPr="00E53971">
              <w:rPr>
                <w:lang w:val="es-ES"/>
              </w:rPr>
              <w:t xml:space="preserve">Notario </w:t>
            </w:r>
            <w:r>
              <w:rPr>
                <w:lang w:val="es-ES"/>
              </w:rPr>
              <w:t>de Barcelona, Dña. Blanca Pardo García</w:t>
            </w:r>
            <w:r w:rsidRPr="0035388E">
              <w:rPr>
                <w:lang w:val="es-ES"/>
              </w:rPr>
              <w:t xml:space="preserve"> con el número </w:t>
            </w:r>
            <w:r>
              <w:rPr>
                <w:lang w:val="es-ES"/>
              </w:rPr>
              <w:t>609</w:t>
            </w:r>
            <w:r w:rsidRPr="0035388E">
              <w:rPr>
                <w:lang w:val="es-ES"/>
              </w:rPr>
              <w:t xml:space="preserve"> de su libro registro de operaciones</w:t>
            </w:r>
            <w:r>
              <w:rPr>
                <w:lang w:val="es-ES"/>
              </w:rPr>
              <w:t>.</w:t>
            </w:r>
            <w:r w:rsidRPr="000D3E9E">
              <w:rPr>
                <w:i/>
                <w:lang w:val="es-ES"/>
              </w:rPr>
              <w:t xml:space="preserve"> </w:t>
            </w:r>
          </w:p>
        </w:tc>
        <w:tc>
          <w:tcPr>
            <w:tcW w:w="2500" w:type="pct"/>
            <w:shd w:val="clear" w:color="auto" w:fill="auto"/>
          </w:tcPr>
          <w:p w14:paraId="0C747F65" w14:textId="5C98264B" w:rsidR="000D089E" w:rsidRPr="000D3E9E" w:rsidRDefault="000D089E" w:rsidP="000D089E">
            <w:pPr>
              <w:pStyle w:val="AODocTxtL1"/>
            </w:pPr>
            <w:r w:rsidRPr="000D3E9E">
              <w:t xml:space="preserve">The 2023 Liquidity Facility Agreement </w:t>
            </w:r>
            <w:r>
              <w:t>w</w:t>
            </w:r>
            <w:r w:rsidRPr="000D3E9E">
              <w:t xml:space="preserve">as </w:t>
            </w:r>
            <w:r>
              <w:t xml:space="preserve">partially </w:t>
            </w:r>
            <w:r w:rsidRPr="000D3E9E">
              <w:t xml:space="preserve">raised to the status of public document on such same date by means of a deed intervened by the </w:t>
            </w:r>
            <w:r>
              <w:t>Notary of Barcelona Ms. Blanca Pardo García with number 609</w:t>
            </w:r>
            <w:r w:rsidRPr="00E6338F">
              <w:t xml:space="preserve"> </w:t>
            </w:r>
            <w:r>
              <w:t xml:space="preserve">of her registry book of transactions. </w:t>
            </w:r>
          </w:p>
        </w:tc>
      </w:tr>
      <w:tr w:rsidR="000D089E" w:rsidRPr="00BF2CC1" w14:paraId="7F83863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D5D12CA" w14:textId="383AC68D" w:rsidR="000D089E" w:rsidRPr="000D3E9E" w:rsidRDefault="000D089E" w:rsidP="000D089E">
            <w:pPr>
              <w:pStyle w:val="AOA"/>
              <w:widowControl w:val="0"/>
              <w:rPr>
                <w:lang w:val="es-ES"/>
              </w:rPr>
            </w:pPr>
            <w:r w:rsidRPr="003D6A08">
              <w:rPr>
                <w:lang w:val="es-ES"/>
              </w:rPr>
              <w:t xml:space="preserve">Que, el día 10 de abril de 2024 se suscribió un </w:t>
            </w:r>
            <w:r w:rsidRPr="003D6A08">
              <w:rPr>
                <w:lang w:val="es-ES" w:eastAsia="es-ES"/>
              </w:rPr>
              <w:t>contrato de crédito</w:t>
            </w:r>
            <w:r w:rsidRPr="003D6A08">
              <w:rPr>
                <w:lang w:val="es-ES"/>
              </w:rPr>
              <w:t>, por importe de € 605.000.000 denominado en inglés “</w:t>
            </w:r>
            <w:proofErr w:type="spellStart"/>
            <w:r w:rsidRPr="003D6A08">
              <w:rPr>
                <w:i/>
                <w:iCs/>
                <w:lang w:val="es-ES"/>
              </w:rPr>
              <w:t>Authorised</w:t>
            </w:r>
            <w:proofErr w:type="spellEnd"/>
            <w:r w:rsidRPr="003D6A08">
              <w:rPr>
                <w:i/>
                <w:iCs/>
                <w:lang w:val="es-ES"/>
              </w:rPr>
              <w:t xml:space="preserve"> </w:t>
            </w:r>
            <w:proofErr w:type="spellStart"/>
            <w:r w:rsidRPr="003D6A08">
              <w:rPr>
                <w:i/>
                <w:iCs/>
                <w:lang w:val="es-ES"/>
              </w:rPr>
              <w:t>Credit</w:t>
            </w:r>
            <w:proofErr w:type="spellEnd"/>
            <w:r w:rsidRPr="003D6A08">
              <w:rPr>
                <w:i/>
                <w:iCs/>
                <w:lang w:val="es-ES"/>
              </w:rPr>
              <w:t xml:space="preserve"> Facilities </w:t>
            </w:r>
            <w:proofErr w:type="spellStart"/>
            <w:r w:rsidRPr="003D6A08">
              <w:rPr>
                <w:i/>
                <w:iCs/>
                <w:lang w:val="es-ES"/>
              </w:rPr>
              <w:t>Agreement</w:t>
            </w:r>
            <w:proofErr w:type="spellEnd"/>
            <w:r w:rsidRPr="003D6A08">
              <w:rPr>
                <w:lang w:val="es-ES"/>
              </w:rPr>
              <w:t xml:space="preserve">” sujeto a ley inglesa, por, entre otros, Beacon Finco </w:t>
            </w:r>
            <w:proofErr w:type="spellStart"/>
            <w:r w:rsidRPr="003D6A08">
              <w:rPr>
                <w:lang w:val="es-ES"/>
              </w:rPr>
              <w:t>S.à</w:t>
            </w:r>
            <w:proofErr w:type="spellEnd"/>
            <w:r w:rsidRPr="003D6A08">
              <w:rPr>
                <w:lang w:val="es-ES"/>
              </w:rPr>
              <w:t xml:space="preserve"> </w:t>
            </w:r>
            <w:proofErr w:type="spellStart"/>
            <w:r w:rsidRPr="003D6A08">
              <w:rPr>
                <w:lang w:val="es-ES"/>
              </w:rPr>
              <w:t>r.l</w:t>
            </w:r>
            <w:proofErr w:type="spellEnd"/>
            <w:r w:rsidRPr="003D6A08">
              <w:rPr>
                <w:lang w:val="es-ES"/>
              </w:rPr>
              <w:t>. como Emisora (</w:t>
            </w:r>
            <w:proofErr w:type="spellStart"/>
            <w:r w:rsidRPr="003D6A08">
              <w:rPr>
                <w:i/>
                <w:lang w:val="es-ES"/>
              </w:rPr>
              <w:t>Issuer</w:t>
            </w:r>
            <w:proofErr w:type="spellEnd"/>
            <w:r w:rsidRPr="003D6A08">
              <w:rPr>
                <w:lang w:val="es-ES"/>
              </w:rPr>
              <w:t xml:space="preserve">), Beacon Rail Leasing </w:t>
            </w:r>
            <w:proofErr w:type="spellStart"/>
            <w:r w:rsidRPr="003D6A08">
              <w:rPr>
                <w:lang w:val="es-ES"/>
              </w:rPr>
              <w:t>S.à</w:t>
            </w:r>
            <w:proofErr w:type="spellEnd"/>
            <w:r w:rsidRPr="003D6A08">
              <w:rPr>
                <w:lang w:val="es-ES"/>
              </w:rPr>
              <w:t xml:space="preserve"> </w:t>
            </w:r>
            <w:proofErr w:type="spellStart"/>
            <w:r w:rsidRPr="003D6A08">
              <w:rPr>
                <w:lang w:val="es-ES"/>
              </w:rPr>
              <w:t>r.l</w:t>
            </w:r>
            <w:proofErr w:type="spellEnd"/>
            <w:r w:rsidRPr="003D6A08">
              <w:rPr>
                <w:lang w:val="es-ES"/>
              </w:rPr>
              <w:t>. como Agente de Garantías del Grupo (</w:t>
            </w:r>
            <w:r w:rsidRPr="003D6A08">
              <w:rPr>
                <w:i/>
                <w:lang w:val="es-ES"/>
              </w:rPr>
              <w:t xml:space="preserve">Security </w:t>
            </w:r>
            <w:proofErr w:type="spellStart"/>
            <w:r w:rsidRPr="003D6A08">
              <w:rPr>
                <w:i/>
                <w:lang w:val="es-ES"/>
              </w:rPr>
              <w:t>Group</w:t>
            </w:r>
            <w:proofErr w:type="spellEnd"/>
            <w:r w:rsidRPr="003D6A08">
              <w:rPr>
                <w:i/>
                <w:lang w:val="es-ES"/>
              </w:rPr>
              <w:t xml:space="preserve"> </w:t>
            </w:r>
            <w:proofErr w:type="spellStart"/>
            <w:r w:rsidRPr="003D6A08">
              <w:rPr>
                <w:i/>
                <w:lang w:val="es-ES"/>
              </w:rPr>
              <w:t>Agent</w:t>
            </w:r>
            <w:proofErr w:type="spellEnd"/>
            <w:r w:rsidRPr="003D6A08">
              <w:rPr>
                <w:lang w:val="es-ES"/>
              </w:rPr>
              <w:t xml:space="preserve">), ABN </w:t>
            </w:r>
            <w:proofErr w:type="spellStart"/>
            <w:r w:rsidRPr="003D6A08">
              <w:rPr>
                <w:lang w:val="es-ES"/>
              </w:rPr>
              <w:t>Amro</w:t>
            </w:r>
            <w:proofErr w:type="spellEnd"/>
            <w:r w:rsidRPr="003D6A08">
              <w:rPr>
                <w:lang w:val="es-ES"/>
              </w:rPr>
              <w:t xml:space="preserve"> Bank N.V., </w:t>
            </w:r>
            <w:proofErr w:type="spellStart"/>
            <w:r w:rsidRPr="003D6A08">
              <w:rPr>
                <w:lang w:val="es-ES"/>
              </w:rPr>
              <w:t>Caixabank</w:t>
            </w:r>
            <w:proofErr w:type="spellEnd"/>
            <w:r w:rsidRPr="003D6A08">
              <w:rPr>
                <w:lang w:val="es-ES"/>
              </w:rPr>
              <w:t xml:space="preserve">, S.A. UK Branch, </w:t>
            </w:r>
            <w:proofErr w:type="spellStart"/>
            <w:r w:rsidRPr="003D6A08">
              <w:rPr>
                <w:lang w:val="es-ES"/>
              </w:rPr>
              <w:t>Coöperatieve</w:t>
            </w:r>
            <w:proofErr w:type="spellEnd"/>
            <w:r w:rsidRPr="003D6A08">
              <w:rPr>
                <w:lang w:val="es-ES"/>
              </w:rPr>
              <w:t xml:space="preserve"> </w:t>
            </w:r>
            <w:proofErr w:type="spellStart"/>
            <w:r w:rsidRPr="003D6A08">
              <w:rPr>
                <w:lang w:val="es-ES"/>
              </w:rPr>
              <w:t>Rabobank</w:t>
            </w:r>
            <w:proofErr w:type="spellEnd"/>
            <w:r w:rsidRPr="003D6A08">
              <w:rPr>
                <w:lang w:val="es-ES"/>
              </w:rPr>
              <w:t xml:space="preserve"> U.A., </w:t>
            </w:r>
            <w:proofErr w:type="spellStart"/>
            <w:r w:rsidRPr="003D6A08">
              <w:rPr>
                <w:lang w:val="es-ES"/>
              </w:rPr>
              <w:t>Crédit</w:t>
            </w:r>
            <w:proofErr w:type="spellEnd"/>
            <w:r w:rsidRPr="003D6A08">
              <w:rPr>
                <w:lang w:val="es-ES"/>
              </w:rPr>
              <w:t xml:space="preserve"> </w:t>
            </w:r>
            <w:proofErr w:type="spellStart"/>
            <w:r w:rsidRPr="003D6A08">
              <w:rPr>
                <w:lang w:val="es-ES"/>
              </w:rPr>
              <w:t>Agricole</w:t>
            </w:r>
            <w:proofErr w:type="spellEnd"/>
            <w:r w:rsidRPr="003D6A08">
              <w:rPr>
                <w:lang w:val="es-ES"/>
              </w:rPr>
              <w:t xml:space="preserve"> Corporate and </w:t>
            </w:r>
            <w:proofErr w:type="spellStart"/>
            <w:r w:rsidRPr="003D6A08">
              <w:rPr>
                <w:lang w:val="es-ES"/>
              </w:rPr>
              <w:t>Investment</w:t>
            </w:r>
            <w:proofErr w:type="spellEnd"/>
            <w:r w:rsidRPr="003D6A08">
              <w:rPr>
                <w:lang w:val="es-ES"/>
              </w:rPr>
              <w:t xml:space="preserve"> Bank, </w:t>
            </w:r>
            <w:proofErr w:type="spellStart"/>
            <w:r w:rsidRPr="003D6A08">
              <w:rPr>
                <w:lang w:val="es-ES"/>
              </w:rPr>
              <w:t>Development</w:t>
            </w:r>
            <w:proofErr w:type="spellEnd"/>
            <w:r w:rsidRPr="003D6A08">
              <w:rPr>
                <w:lang w:val="es-ES"/>
              </w:rPr>
              <w:t xml:space="preserve"> Bank of </w:t>
            </w:r>
            <w:proofErr w:type="spellStart"/>
            <w:r w:rsidRPr="003D6A08">
              <w:rPr>
                <w:lang w:val="es-ES"/>
              </w:rPr>
              <w:t>Japan</w:t>
            </w:r>
            <w:proofErr w:type="spellEnd"/>
            <w:r w:rsidRPr="003D6A08">
              <w:rPr>
                <w:lang w:val="es-ES"/>
              </w:rPr>
              <w:t xml:space="preserve"> INC, ING Bank, a </w:t>
            </w:r>
            <w:proofErr w:type="spellStart"/>
            <w:r w:rsidRPr="003D6A08">
              <w:rPr>
                <w:lang w:val="es-ES"/>
              </w:rPr>
              <w:t>branch</w:t>
            </w:r>
            <w:proofErr w:type="spellEnd"/>
            <w:r w:rsidRPr="003D6A08">
              <w:rPr>
                <w:lang w:val="es-ES"/>
              </w:rPr>
              <w:t xml:space="preserve"> of ING-</w:t>
            </w:r>
            <w:proofErr w:type="spellStart"/>
            <w:r w:rsidRPr="003D6A08">
              <w:rPr>
                <w:lang w:val="es-ES"/>
              </w:rPr>
              <w:t>DiBa</w:t>
            </w:r>
            <w:proofErr w:type="spellEnd"/>
            <w:r w:rsidRPr="003D6A08">
              <w:rPr>
                <w:lang w:val="es-ES"/>
              </w:rPr>
              <w:t xml:space="preserve"> AG, </w:t>
            </w:r>
            <w:proofErr w:type="spellStart"/>
            <w:r w:rsidRPr="003D6A08">
              <w:rPr>
                <w:lang w:val="es-ES"/>
              </w:rPr>
              <w:t>Intesa</w:t>
            </w:r>
            <w:proofErr w:type="spellEnd"/>
            <w:r w:rsidRPr="003D6A08">
              <w:rPr>
                <w:lang w:val="es-ES"/>
              </w:rPr>
              <w:t xml:space="preserve"> </w:t>
            </w:r>
            <w:proofErr w:type="spellStart"/>
            <w:r w:rsidRPr="003D6A08">
              <w:rPr>
                <w:lang w:val="es-ES"/>
              </w:rPr>
              <w:t>Sanpaolo</w:t>
            </w:r>
            <w:proofErr w:type="spellEnd"/>
            <w:r w:rsidRPr="003D6A08">
              <w:rPr>
                <w:lang w:val="es-ES"/>
              </w:rPr>
              <w:t xml:space="preserve"> Bank </w:t>
            </w:r>
            <w:proofErr w:type="spellStart"/>
            <w:r w:rsidRPr="003D6A08">
              <w:rPr>
                <w:lang w:val="es-ES"/>
              </w:rPr>
              <w:t>Ireland</w:t>
            </w:r>
            <w:proofErr w:type="spellEnd"/>
            <w:r w:rsidRPr="003D6A08">
              <w:rPr>
                <w:lang w:val="es-ES"/>
              </w:rPr>
              <w:t xml:space="preserve"> PLC, SGBTCI, SGBT Asset </w:t>
            </w:r>
            <w:proofErr w:type="spellStart"/>
            <w:r w:rsidRPr="003D6A08">
              <w:rPr>
                <w:lang w:val="es-ES"/>
              </w:rPr>
              <w:t>Based</w:t>
            </w:r>
            <w:proofErr w:type="spellEnd"/>
            <w:r w:rsidRPr="003D6A08">
              <w:rPr>
                <w:lang w:val="es-ES"/>
              </w:rPr>
              <w:t xml:space="preserve"> </w:t>
            </w:r>
            <w:proofErr w:type="spellStart"/>
            <w:r w:rsidRPr="003D6A08">
              <w:rPr>
                <w:lang w:val="es-ES"/>
              </w:rPr>
              <w:t>Funding</w:t>
            </w:r>
            <w:proofErr w:type="spellEnd"/>
            <w:r w:rsidRPr="003D6A08">
              <w:rPr>
                <w:lang w:val="es-ES"/>
              </w:rPr>
              <w:t xml:space="preserve"> S.A. y Siemens Bank </w:t>
            </w:r>
            <w:proofErr w:type="spellStart"/>
            <w:r w:rsidRPr="003D6A08">
              <w:rPr>
                <w:lang w:val="es-ES"/>
              </w:rPr>
              <w:t>GmbH</w:t>
            </w:r>
            <w:proofErr w:type="spellEnd"/>
            <w:r w:rsidRPr="003D6A08">
              <w:rPr>
                <w:lang w:val="es-ES"/>
              </w:rPr>
              <w:t xml:space="preserve"> como entidades coordinadoras (</w:t>
            </w:r>
            <w:proofErr w:type="spellStart"/>
            <w:r w:rsidRPr="003D6A08">
              <w:rPr>
                <w:i/>
                <w:iCs/>
                <w:lang w:val="es-ES"/>
              </w:rPr>
              <w:t>Mandated</w:t>
            </w:r>
            <w:proofErr w:type="spellEnd"/>
            <w:r w:rsidRPr="003D6A08">
              <w:rPr>
                <w:i/>
                <w:iCs/>
                <w:lang w:val="es-ES"/>
              </w:rPr>
              <w:t xml:space="preserve"> Lead </w:t>
            </w:r>
            <w:proofErr w:type="spellStart"/>
            <w:r w:rsidRPr="003D6A08">
              <w:rPr>
                <w:i/>
                <w:iCs/>
                <w:lang w:val="es-ES"/>
              </w:rPr>
              <w:t>Arrangers</w:t>
            </w:r>
            <w:proofErr w:type="spellEnd"/>
            <w:r w:rsidRPr="003D6A08">
              <w:rPr>
                <w:lang w:val="es-ES"/>
              </w:rPr>
              <w:t>) y como entidades financiadoras originales (</w:t>
            </w:r>
            <w:r w:rsidRPr="003D6A08">
              <w:rPr>
                <w:i/>
                <w:iCs/>
                <w:lang w:val="es-ES"/>
              </w:rPr>
              <w:t xml:space="preserve">Original </w:t>
            </w:r>
            <w:proofErr w:type="spellStart"/>
            <w:r w:rsidRPr="003D6A08">
              <w:rPr>
                <w:i/>
                <w:iCs/>
                <w:lang w:val="es-ES"/>
              </w:rPr>
              <w:t>Lenders</w:t>
            </w:r>
            <w:proofErr w:type="spellEnd"/>
            <w:r w:rsidRPr="003D6A08">
              <w:rPr>
                <w:lang w:val="es-ES"/>
              </w:rPr>
              <w:t>), y ING como Agente ACF 2024 (</w:t>
            </w:r>
            <w:proofErr w:type="spellStart"/>
            <w:r w:rsidRPr="003D6A08">
              <w:rPr>
                <w:i/>
                <w:iCs/>
                <w:lang w:val="es-ES"/>
              </w:rPr>
              <w:t>Facility</w:t>
            </w:r>
            <w:proofErr w:type="spellEnd"/>
            <w:r w:rsidRPr="003D6A08">
              <w:rPr>
                <w:i/>
                <w:iCs/>
                <w:lang w:val="es-ES"/>
              </w:rPr>
              <w:t xml:space="preserve"> </w:t>
            </w:r>
            <w:proofErr w:type="spellStart"/>
            <w:r w:rsidRPr="003D6A08">
              <w:rPr>
                <w:i/>
                <w:iCs/>
                <w:lang w:val="es-ES"/>
              </w:rPr>
              <w:t>Agent</w:t>
            </w:r>
            <w:proofErr w:type="spellEnd"/>
            <w:r w:rsidRPr="003D6A08">
              <w:rPr>
                <w:lang w:val="es-ES"/>
              </w:rPr>
              <w:t xml:space="preserve">) en relación con un contrato de préstamo a plazo y </w:t>
            </w:r>
            <w:proofErr w:type="spellStart"/>
            <w:r w:rsidRPr="003D6A08">
              <w:rPr>
                <w:i/>
                <w:iCs/>
                <w:lang w:val="es-ES"/>
              </w:rPr>
              <w:t>capex</w:t>
            </w:r>
            <w:proofErr w:type="spellEnd"/>
            <w:r w:rsidRPr="003D6A08">
              <w:rPr>
                <w:lang w:val="es-ES"/>
              </w:rPr>
              <w:t xml:space="preserve">. </w:t>
            </w:r>
            <w:r w:rsidRPr="000D3E9E">
              <w:rPr>
                <w:lang w:val="es-ES"/>
              </w:rPr>
              <w:t xml:space="preserve">En adelante, el </w:t>
            </w:r>
            <w:r w:rsidRPr="000D3E9E">
              <w:rPr>
                <w:lang w:val="es" w:eastAsia="es-ES"/>
              </w:rPr>
              <w:t xml:space="preserve">contrato de </w:t>
            </w:r>
            <w:r>
              <w:rPr>
                <w:lang w:val="es" w:eastAsia="es-ES"/>
              </w:rPr>
              <w:t>crédito autorizado</w:t>
            </w:r>
            <w:r w:rsidRPr="000D3E9E">
              <w:rPr>
                <w:lang w:val="es-ES"/>
              </w:rPr>
              <w:t xml:space="preserve">, tal y como el mismo sea modificado, extendido, ratificado y/o complementado en cada momento, será referido </w:t>
            </w:r>
            <w:r w:rsidRPr="00BD1587">
              <w:rPr>
                <w:lang w:val="es-ES"/>
              </w:rPr>
              <w:t>como</w:t>
            </w:r>
            <w:r w:rsidRPr="00BD1587">
              <w:rPr>
                <w:b/>
                <w:bCs/>
                <w:lang w:val="es-ES"/>
              </w:rPr>
              <w:t xml:space="preserve"> Contrato de Crédito Autorizado 2024</w:t>
            </w:r>
            <w:r w:rsidRPr="000D3E9E">
              <w:rPr>
                <w:lang w:val="es-ES"/>
              </w:rPr>
              <w:t>.</w:t>
            </w:r>
          </w:p>
        </w:tc>
        <w:tc>
          <w:tcPr>
            <w:tcW w:w="2500" w:type="pct"/>
            <w:shd w:val="clear" w:color="auto" w:fill="auto"/>
          </w:tcPr>
          <w:p w14:paraId="46A693DE" w14:textId="0810DE91" w:rsidR="000D089E" w:rsidRPr="00185D44" w:rsidRDefault="000D089E" w:rsidP="00FD5DDB">
            <w:pPr>
              <w:pStyle w:val="AODocTxt"/>
              <w:numPr>
                <w:ilvl w:val="0"/>
                <w:numId w:val="39"/>
              </w:numPr>
              <w:ind w:hanging="720"/>
            </w:pPr>
            <w:r w:rsidRPr="000D3E9E">
              <w:t xml:space="preserve">That, on </w:t>
            </w:r>
            <w:r>
              <w:t>10 April 2024</w:t>
            </w:r>
            <w:r w:rsidRPr="000D3E9E">
              <w:t>, an English law</w:t>
            </w:r>
            <w:r>
              <w:t xml:space="preserve"> E</w:t>
            </w:r>
            <w:r w:rsidRPr="00FF6A9F">
              <w:t xml:space="preserve">UR </w:t>
            </w:r>
            <w:r>
              <w:t>6</w:t>
            </w:r>
            <w:r w:rsidRPr="00FF6A9F">
              <w:t>0</w:t>
            </w:r>
            <w:r>
              <w:t>5</w:t>
            </w:r>
            <w:r w:rsidRPr="00FF6A9F">
              <w:t xml:space="preserve">,000,000 authorised credit facilities agreement dated </w:t>
            </w:r>
            <w:r>
              <w:t>was entered into</w:t>
            </w:r>
            <w:r w:rsidRPr="00FF6A9F">
              <w:t xml:space="preserve"> between, among others, Beacon Finco </w:t>
            </w:r>
            <w:proofErr w:type="spellStart"/>
            <w:r w:rsidRPr="00FF6A9F">
              <w:t>S.à</w:t>
            </w:r>
            <w:proofErr w:type="spellEnd"/>
            <w:r w:rsidRPr="00FF6A9F">
              <w:t xml:space="preserve"> </w:t>
            </w:r>
            <w:proofErr w:type="spellStart"/>
            <w:r w:rsidRPr="00FF6A9F">
              <w:t>r.l</w:t>
            </w:r>
            <w:proofErr w:type="spellEnd"/>
            <w:r w:rsidRPr="00FF6A9F">
              <w:t xml:space="preserve">. as issuer, Beacon Rail Leasing </w:t>
            </w:r>
            <w:proofErr w:type="spellStart"/>
            <w:r w:rsidRPr="00FF6A9F">
              <w:t>S.à</w:t>
            </w:r>
            <w:proofErr w:type="spellEnd"/>
            <w:r w:rsidRPr="00FF6A9F">
              <w:t xml:space="preserve"> </w:t>
            </w:r>
            <w:proofErr w:type="spellStart"/>
            <w:r w:rsidRPr="00FF6A9F">
              <w:t>r.l</w:t>
            </w:r>
            <w:proofErr w:type="spellEnd"/>
            <w:r w:rsidRPr="00FF6A9F">
              <w:t xml:space="preserve">. as security group agent, </w:t>
            </w:r>
            <w:r w:rsidRPr="00360E60">
              <w:t xml:space="preserve">ABN Amro Bank N.V., </w:t>
            </w:r>
            <w:proofErr w:type="spellStart"/>
            <w:r w:rsidRPr="00360E60">
              <w:t>Caixabank</w:t>
            </w:r>
            <w:proofErr w:type="spellEnd"/>
            <w:r w:rsidRPr="00360E60">
              <w:t xml:space="preserve">, S.A. UK Branch, </w:t>
            </w:r>
            <w:proofErr w:type="spellStart"/>
            <w:r w:rsidRPr="00360E60">
              <w:t>Coöperati</w:t>
            </w:r>
            <w:r>
              <w:t>e</w:t>
            </w:r>
            <w:r w:rsidRPr="00360E60">
              <w:t>ve</w:t>
            </w:r>
            <w:proofErr w:type="spellEnd"/>
            <w:r w:rsidRPr="00360E60">
              <w:t xml:space="preserve"> Rabobank U.A., Cr</w:t>
            </w:r>
            <w:r>
              <w:t>é</w:t>
            </w:r>
            <w:r w:rsidRPr="00360E60">
              <w:t>dit Agricole Corporate and Investment Bank, Development Bank of Japan INC, ING Bank</w:t>
            </w:r>
            <w:r>
              <w:t>, a branch of ING-DiBa AG</w:t>
            </w:r>
            <w:r w:rsidRPr="00360E60">
              <w:t>, Intesa Sanpaolo Bank Ireland PLC, SGBTCI, SGBT Asset B</w:t>
            </w:r>
            <w:r>
              <w:t>a</w:t>
            </w:r>
            <w:r w:rsidRPr="00360E60">
              <w:t xml:space="preserve">sed Funding S.A. </w:t>
            </w:r>
            <w:r>
              <w:t>and</w:t>
            </w:r>
            <w:r w:rsidRPr="00360E60">
              <w:t xml:space="preserve"> Siemens Bank GmbH  </w:t>
            </w:r>
            <w:r w:rsidRPr="00FF6A9F">
              <w:t xml:space="preserve">as mandated lead arrangers, </w:t>
            </w:r>
            <w:r>
              <w:t>and</w:t>
            </w:r>
            <w:r w:rsidRPr="00FF6A9F">
              <w:t xml:space="preserve"> as original lenders and</w:t>
            </w:r>
            <w:r>
              <w:t xml:space="preserve"> ING</w:t>
            </w:r>
            <w:r w:rsidRPr="00FF6A9F">
              <w:t xml:space="preserve"> as facility agent regarding certain term and capex facilities</w:t>
            </w:r>
            <w:r>
              <w:t>.</w:t>
            </w:r>
            <w:r w:rsidRPr="0035388E">
              <w:t xml:space="preserve"> Hereinafter, the </w:t>
            </w:r>
            <w:r w:rsidRPr="00FF6A9F">
              <w:t>authorised credit facilities</w:t>
            </w:r>
            <w:r w:rsidRPr="0035388E">
              <w:t xml:space="preserve"> agreement</w:t>
            </w:r>
            <w:r w:rsidRPr="000D3E9E">
              <w:t>, as it may be amended, extended, ratified and/or supplemented from time to time, shall be referred to as the</w:t>
            </w:r>
            <w:r w:rsidRPr="00FD5DDB">
              <w:t xml:space="preserve"> </w:t>
            </w:r>
            <w:r w:rsidRPr="00FD5DDB">
              <w:rPr>
                <w:b/>
                <w:bCs/>
              </w:rPr>
              <w:t>2024 Authorised Credit Facilities Agreement</w:t>
            </w:r>
            <w:r w:rsidRPr="00FD5DDB">
              <w:t>.</w:t>
            </w:r>
          </w:p>
        </w:tc>
      </w:tr>
      <w:tr w:rsidR="000D089E" w:rsidRPr="00BF2CC1" w14:paraId="1E94DF0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2E3A842" w14:textId="6B77B81F" w:rsidR="000D089E" w:rsidRPr="000D3E9E" w:rsidRDefault="000D089E" w:rsidP="000D089E">
            <w:pPr>
              <w:pStyle w:val="AOA"/>
              <w:widowControl w:val="0"/>
              <w:numPr>
                <w:ilvl w:val="0"/>
                <w:numId w:val="0"/>
              </w:numPr>
              <w:ind w:left="720"/>
              <w:rPr>
                <w:lang w:val="es-ES"/>
              </w:rPr>
            </w:pPr>
            <w:r w:rsidRPr="000D3E9E">
              <w:rPr>
                <w:lang w:val="es-ES"/>
              </w:rPr>
              <w:t xml:space="preserve">El </w:t>
            </w:r>
            <w:r w:rsidRPr="00BD1587">
              <w:rPr>
                <w:lang w:val="es-ES"/>
              </w:rPr>
              <w:t>Contrato de Crédito Autorizado 2024</w:t>
            </w:r>
            <w:r>
              <w:rPr>
                <w:b/>
                <w:bCs/>
                <w:lang w:val="es-ES"/>
              </w:rPr>
              <w:t xml:space="preserve"> </w:t>
            </w:r>
            <w:r>
              <w:rPr>
                <w:lang w:val="es-ES"/>
              </w:rPr>
              <w:t>fue</w:t>
            </w:r>
            <w:r w:rsidRPr="000D3E9E">
              <w:rPr>
                <w:lang w:val="es-ES"/>
              </w:rPr>
              <w:t xml:space="preserve"> elevado a público </w:t>
            </w:r>
            <w:r>
              <w:rPr>
                <w:lang w:val="es-ES"/>
              </w:rPr>
              <w:t xml:space="preserve">parcialmente </w:t>
            </w:r>
            <w:r w:rsidRPr="000D3E9E">
              <w:rPr>
                <w:lang w:val="es-ES"/>
              </w:rPr>
              <w:t xml:space="preserve">en </w:t>
            </w:r>
            <w:r w:rsidR="0004794E">
              <w:rPr>
                <w:lang w:val="es-ES"/>
              </w:rPr>
              <w:t>esa</w:t>
            </w:r>
            <w:r w:rsidRPr="000D3E9E">
              <w:rPr>
                <w:lang w:val="es-ES"/>
              </w:rPr>
              <w:t xml:space="preserve"> </w:t>
            </w:r>
            <w:r w:rsidRPr="000D3E9E">
              <w:rPr>
                <w:lang w:val="es-ES"/>
              </w:rPr>
              <w:lastRenderedPageBreak/>
              <w:t xml:space="preserve">misma fecha en virtud de póliza intervenida por </w:t>
            </w:r>
            <w:r w:rsidR="00FD3228">
              <w:rPr>
                <w:lang w:val="es-ES"/>
              </w:rPr>
              <w:t>la</w:t>
            </w:r>
            <w:r w:rsidRPr="000D3E9E">
              <w:rPr>
                <w:lang w:val="es-ES"/>
              </w:rPr>
              <w:t xml:space="preserve"> </w:t>
            </w:r>
            <w:r w:rsidRPr="00E53971">
              <w:rPr>
                <w:lang w:val="es-ES"/>
              </w:rPr>
              <w:t xml:space="preserve">Notario </w:t>
            </w:r>
            <w:r>
              <w:rPr>
                <w:lang w:val="es-ES"/>
              </w:rPr>
              <w:t>de Barcelona, Dña. Blanca Pardo García</w:t>
            </w:r>
            <w:r w:rsidR="006136DF">
              <w:rPr>
                <w:lang w:val="es-ES"/>
              </w:rPr>
              <w:t>, con el número 329 de su libro registro de operaciones.</w:t>
            </w:r>
          </w:p>
        </w:tc>
        <w:tc>
          <w:tcPr>
            <w:tcW w:w="2500" w:type="pct"/>
            <w:shd w:val="clear" w:color="auto" w:fill="auto"/>
          </w:tcPr>
          <w:p w14:paraId="12BAAD3E" w14:textId="62BEDAA1" w:rsidR="000D089E" w:rsidRPr="00185D44" w:rsidRDefault="000D089E" w:rsidP="000D089E">
            <w:pPr>
              <w:pStyle w:val="AOA"/>
              <w:widowControl w:val="0"/>
              <w:numPr>
                <w:ilvl w:val="0"/>
                <w:numId w:val="0"/>
              </w:numPr>
              <w:ind w:left="720"/>
            </w:pPr>
            <w:r w:rsidRPr="000D3E9E">
              <w:lastRenderedPageBreak/>
              <w:t xml:space="preserve">The </w:t>
            </w:r>
            <w:r w:rsidRPr="00BD1587">
              <w:rPr>
                <w:lang w:eastAsia="es-ES"/>
              </w:rPr>
              <w:t xml:space="preserve">2024 </w:t>
            </w:r>
            <w:r w:rsidRPr="00BD1587">
              <w:t>Authorised Credit Facilities</w:t>
            </w:r>
            <w:r w:rsidRPr="00BD1587">
              <w:rPr>
                <w:lang w:eastAsia="en-GB" w:bidi="en-GB"/>
              </w:rPr>
              <w:t xml:space="preserve"> Agreement</w:t>
            </w:r>
            <w:r w:rsidRPr="00BD1587">
              <w:t xml:space="preserve"> </w:t>
            </w:r>
            <w:r>
              <w:t>was</w:t>
            </w:r>
            <w:r w:rsidRPr="000D3E9E">
              <w:t xml:space="preserve"> </w:t>
            </w:r>
            <w:r>
              <w:t xml:space="preserve">partially </w:t>
            </w:r>
            <w:r w:rsidRPr="000D3E9E">
              <w:t xml:space="preserve">raised to the status </w:t>
            </w:r>
            <w:r w:rsidRPr="000D3E9E">
              <w:lastRenderedPageBreak/>
              <w:t xml:space="preserve">of public document on such same date by means of a deed intervened by the </w:t>
            </w:r>
            <w:r>
              <w:t>Notary of Barcelona Ms. Blanca Pardo García</w:t>
            </w:r>
            <w:r w:rsidR="006136DF">
              <w:t>, with number 329 of her registry book of transactions.</w:t>
            </w:r>
          </w:p>
        </w:tc>
      </w:tr>
      <w:tr w:rsidR="000D089E" w:rsidRPr="00BD1587" w14:paraId="70D6E5D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17E5993" w14:textId="58A992FE" w:rsidR="000D089E" w:rsidRPr="007B0E85" w:rsidRDefault="000D089E" w:rsidP="000D089E">
            <w:pPr>
              <w:pStyle w:val="AOA"/>
              <w:widowControl w:val="0"/>
              <w:rPr>
                <w:lang w:val="es-ES"/>
              </w:rPr>
            </w:pPr>
            <w:r w:rsidRPr="00905037">
              <w:rPr>
                <w:lang w:val="es-ES"/>
              </w:rPr>
              <w:lastRenderedPageBreak/>
              <w:t xml:space="preserve">Que, el día 10 de abril de 2024 se </w:t>
            </w:r>
            <w:r>
              <w:rPr>
                <w:lang w:val="es-ES"/>
              </w:rPr>
              <w:t>suscribió</w:t>
            </w:r>
            <w:r w:rsidRPr="00905037">
              <w:rPr>
                <w:lang w:val="es-ES"/>
              </w:rPr>
              <w:t xml:space="preserve"> un </w:t>
            </w:r>
            <w:r w:rsidRPr="00905037">
              <w:rPr>
                <w:lang w:val="es-ES" w:eastAsia="es-ES"/>
              </w:rPr>
              <w:t xml:space="preserve">contrato de crédito </w:t>
            </w:r>
            <w:proofErr w:type="spellStart"/>
            <w:r w:rsidRPr="00905037">
              <w:rPr>
                <w:i/>
                <w:iCs/>
                <w:lang w:val="es-ES" w:eastAsia="es-ES"/>
              </w:rPr>
              <w:t>revolving</w:t>
            </w:r>
            <w:proofErr w:type="spellEnd"/>
            <w:r w:rsidRPr="00905037">
              <w:rPr>
                <w:lang w:val="es-ES"/>
              </w:rPr>
              <w:t>, por importe de € 14.000.000 denominado en inglés “</w:t>
            </w:r>
            <w:proofErr w:type="spellStart"/>
            <w:r w:rsidRPr="00905037">
              <w:rPr>
                <w:i/>
                <w:iCs/>
                <w:lang w:val="es-ES"/>
              </w:rPr>
              <w:t>Maintenance</w:t>
            </w:r>
            <w:proofErr w:type="spellEnd"/>
            <w:r w:rsidRPr="00905037">
              <w:rPr>
                <w:i/>
                <w:iCs/>
                <w:lang w:val="es-ES"/>
              </w:rPr>
              <w:t xml:space="preserve"> Reserve </w:t>
            </w:r>
            <w:proofErr w:type="spellStart"/>
            <w:r w:rsidRPr="00905037">
              <w:rPr>
                <w:i/>
                <w:iCs/>
                <w:lang w:val="es-ES"/>
              </w:rPr>
              <w:t>Facility</w:t>
            </w:r>
            <w:proofErr w:type="spellEnd"/>
            <w:r w:rsidRPr="00905037">
              <w:rPr>
                <w:i/>
                <w:iCs/>
                <w:lang w:val="es-ES"/>
              </w:rPr>
              <w:t xml:space="preserve"> </w:t>
            </w:r>
            <w:proofErr w:type="spellStart"/>
            <w:r w:rsidRPr="00905037">
              <w:rPr>
                <w:i/>
                <w:iCs/>
                <w:lang w:val="es-ES"/>
              </w:rPr>
              <w:t>Agreement</w:t>
            </w:r>
            <w:proofErr w:type="spellEnd"/>
            <w:r w:rsidRPr="00905037">
              <w:rPr>
                <w:lang w:val="es-ES"/>
              </w:rPr>
              <w:t xml:space="preserve">” sujeto a ley inglesa, por, entre otros, Beacon Finco </w:t>
            </w:r>
            <w:proofErr w:type="spellStart"/>
            <w:r w:rsidRPr="00905037">
              <w:rPr>
                <w:lang w:val="es-ES"/>
              </w:rPr>
              <w:t>S.à</w:t>
            </w:r>
            <w:proofErr w:type="spellEnd"/>
            <w:r w:rsidRPr="00905037">
              <w:rPr>
                <w:lang w:val="es-ES"/>
              </w:rPr>
              <w:t xml:space="preserve"> </w:t>
            </w:r>
            <w:proofErr w:type="spellStart"/>
            <w:r w:rsidRPr="00905037">
              <w:rPr>
                <w:lang w:val="es-ES"/>
              </w:rPr>
              <w:t>r.l</w:t>
            </w:r>
            <w:proofErr w:type="spellEnd"/>
            <w:r w:rsidRPr="00905037">
              <w:rPr>
                <w:lang w:val="es-ES"/>
              </w:rPr>
              <w:t>. como Emisora (</w:t>
            </w:r>
            <w:proofErr w:type="spellStart"/>
            <w:r w:rsidRPr="00905037">
              <w:rPr>
                <w:i/>
                <w:lang w:val="es-ES"/>
              </w:rPr>
              <w:t>Issuer</w:t>
            </w:r>
            <w:proofErr w:type="spellEnd"/>
            <w:r w:rsidRPr="00905037">
              <w:rPr>
                <w:lang w:val="es-ES"/>
              </w:rPr>
              <w:t xml:space="preserve">), Beacon Rail Leasing </w:t>
            </w:r>
            <w:proofErr w:type="spellStart"/>
            <w:r w:rsidRPr="00905037">
              <w:rPr>
                <w:lang w:val="es-ES"/>
              </w:rPr>
              <w:t>S.à</w:t>
            </w:r>
            <w:proofErr w:type="spellEnd"/>
            <w:r w:rsidRPr="00905037">
              <w:rPr>
                <w:lang w:val="es-ES"/>
              </w:rPr>
              <w:t xml:space="preserve"> </w:t>
            </w:r>
            <w:proofErr w:type="spellStart"/>
            <w:r w:rsidRPr="00905037">
              <w:rPr>
                <w:lang w:val="es-ES"/>
              </w:rPr>
              <w:t>r.l</w:t>
            </w:r>
            <w:proofErr w:type="spellEnd"/>
            <w:r w:rsidRPr="00905037">
              <w:rPr>
                <w:lang w:val="es-ES"/>
              </w:rPr>
              <w:t>. como Agente de Garantías del Grupo (</w:t>
            </w:r>
            <w:r w:rsidRPr="00905037">
              <w:rPr>
                <w:i/>
                <w:lang w:val="es-ES"/>
              </w:rPr>
              <w:t xml:space="preserve">Security </w:t>
            </w:r>
            <w:proofErr w:type="spellStart"/>
            <w:r w:rsidRPr="00905037">
              <w:rPr>
                <w:i/>
                <w:lang w:val="es-ES"/>
              </w:rPr>
              <w:t>Group</w:t>
            </w:r>
            <w:proofErr w:type="spellEnd"/>
            <w:r w:rsidRPr="00905037">
              <w:rPr>
                <w:i/>
                <w:lang w:val="es-ES"/>
              </w:rPr>
              <w:t xml:space="preserve"> </w:t>
            </w:r>
            <w:proofErr w:type="spellStart"/>
            <w:r w:rsidRPr="00905037">
              <w:rPr>
                <w:i/>
                <w:lang w:val="es-ES"/>
              </w:rPr>
              <w:t>Agent</w:t>
            </w:r>
            <w:proofErr w:type="spellEnd"/>
            <w:r w:rsidRPr="00905037">
              <w:rPr>
                <w:lang w:val="es-ES"/>
              </w:rPr>
              <w:t xml:space="preserve">), ABN </w:t>
            </w:r>
            <w:proofErr w:type="spellStart"/>
            <w:r w:rsidRPr="00905037">
              <w:rPr>
                <w:lang w:val="es-ES"/>
              </w:rPr>
              <w:t>Amro</w:t>
            </w:r>
            <w:proofErr w:type="spellEnd"/>
            <w:r w:rsidRPr="00905037">
              <w:rPr>
                <w:lang w:val="es-ES"/>
              </w:rPr>
              <w:t xml:space="preserve"> Bank N.V., </w:t>
            </w:r>
            <w:proofErr w:type="spellStart"/>
            <w:r w:rsidRPr="00905037">
              <w:rPr>
                <w:lang w:val="es-ES"/>
              </w:rPr>
              <w:t>Caixabank</w:t>
            </w:r>
            <w:proofErr w:type="spellEnd"/>
            <w:r w:rsidRPr="00905037">
              <w:rPr>
                <w:lang w:val="es-ES"/>
              </w:rPr>
              <w:t xml:space="preserve">, S.A. UK Branch, </w:t>
            </w:r>
            <w:proofErr w:type="spellStart"/>
            <w:r w:rsidRPr="00905037">
              <w:rPr>
                <w:lang w:val="es-ES"/>
              </w:rPr>
              <w:t>Coöperatieve</w:t>
            </w:r>
            <w:proofErr w:type="spellEnd"/>
            <w:r w:rsidRPr="00905037">
              <w:rPr>
                <w:lang w:val="es-ES"/>
              </w:rPr>
              <w:t xml:space="preserve"> </w:t>
            </w:r>
            <w:proofErr w:type="spellStart"/>
            <w:r w:rsidRPr="00905037">
              <w:rPr>
                <w:lang w:val="es-ES"/>
              </w:rPr>
              <w:t>Rabobank</w:t>
            </w:r>
            <w:proofErr w:type="spellEnd"/>
            <w:r w:rsidRPr="00905037">
              <w:rPr>
                <w:lang w:val="es-ES"/>
              </w:rPr>
              <w:t xml:space="preserve"> U.A., </w:t>
            </w:r>
            <w:proofErr w:type="spellStart"/>
            <w:r w:rsidRPr="00905037">
              <w:rPr>
                <w:lang w:val="es-ES"/>
              </w:rPr>
              <w:t>Crédit</w:t>
            </w:r>
            <w:proofErr w:type="spellEnd"/>
            <w:r w:rsidRPr="00905037">
              <w:rPr>
                <w:lang w:val="es-ES"/>
              </w:rPr>
              <w:t xml:space="preserve"> </w:t>
            </w:r>
            <w:proofErr w:type="spellStart"/>
            <w:r w:rsidRPr="00905037">
              <w:rPr>
                <w:lang w:val="es-ES"/>
              </w:rPr>
              <w:t>Agricole</w:t>
            </w:r>
            <w:proofErr w:type="spellEnd"/>
            <w:r w:rsidRPr="00905037">
              <w:rPr>
                <w:lang w:val="es-ES"/>
              </w:rPr>
              <w:t xml:space="preserve"> Corporate and </w:t>
            </w:r>
            <w:proofErr w:type="spellStart"/>
            <w:r w:rsidRPr="00905037">
              <w:rPr>
                <w:lang w:val="es-ES"/>
              </w:rPr>
              <w:t>Investment</w:t>
            </w:r>
            <w:proofErr w:type="spellEnd"/>
            <w:r w:rsidRPr="00905037">
              <w:rPr>
                <w:lang w:val="es-ES"/>
              </w:rPr>
              <w:t xml:space="preserve"> Bank, ING Bank, a </w:t>
            </w:r>
            <w:proofErr w:type="spellStart"/>
            <w:r w:rsidRPr="00905037">
              <w:rPr>
                <w:lang w:val="es-ES"/>
              </w:rPr>
              <w:t>branch</w:t>
            </w:r>
            <w:proofErr w:type="spellEnd"/>
            <w:r w:rsidRPr="00905037">
              <w:rPr>
                <w:lang w:val="es-ES"/>
              </w:rPr>
              <w:t xml:space="preserve"> of ING-</w:t>
            </w:r>
            <w:proofErr w:type="spellStart"/>
            <w:r w:rsidRPr="00905037">
              <w:rPr>
                <w:lang w:val="es-ES"/>
              </w:rPr>
              <w:t>DiBa</w:t>
            </w:r>
            <w:proofErr w:type="spellEnd"/>
            <w:r w:rsidRPr="00905037">
              <w:rPr>
                <w:lang w:val="es-ES"/>
              </w:rPr>
              <w:t xml:space="preserve"> AG, </w:t>
            </w:r>
            <w:proofErr w:type="spellStart"/>
            <w:r w:rsidRPr="00905037">
              <w:rPr>
                <w:lang w:val="es-ES"/>
              </w:rPr>
              <w:t>Intesa</w:t>
            </w:r>
            <w:proofErr w:type="spellEnd"/>
            <w:r w:rsidRPr="00905037">
              <w:rPr>
                <w:lang w:val="es-ES"/>
              </w:rPr>
              <w:t xml:space="preserve"> </w:t>
            </w:r>
            <w:proofErr w:type="spellStart"/>
            <w:r w:rsidRPr="00905037">
              <w:rPr>
                <w:lang w:val="es-ES"/>
              </w:rPr>
              <w:t>Sanpaolo</w:t>
            </w:r>
            <w:proofErr w:type="spellEnd"/>
            <w:r w:rsidRPr="00905037">
              <w:rPr>
                <w:lang w:val="es-ES"/>
              </w:rPr>
              <w:t xml:space="preserve"> Bank </w:t>
            </w:r>
            <w:proofErr w:type="spellStart"/>
            <w:r w:rsidRPr="00905037">
              <w:rPr>
                <w:lang w:val="es-ES"/>
              </w:rPr>
              <w:t>Ireland</w:t>
            </w:r>
            <w:proofErr w:type="spellEnd"/>
            <w:r w:rsidRPr="00905037">
              <w:rPr>
                <w:lang w:val="es-ES"/>
              </w:rPr>
              <w:t xml:space="preserve"> PLC y SGBTCI como entidades coordinadoras (</w:t>
            </w:r>
            <w:proofErr w:type="spellStart"/>
            <w:r w:rsidRPr="00905037">
              <w:rPr>
                <w:i/>
                <w:iCs/>
                <w:lang w:val="es-ES"/>
              </w:rPr>
              <w:t>Mandated</w:t>
            </w:r>
            <w:proofErr w:type="spellEnd"/>
            <w:r w:rsidRPr="00905037">
              <w:rPr>
                <w:i/>
                <w:iCs/>
                <w:lang w:val="es-ES"/>
              </w:rPr>
              <w:t xml:space="preserve"> Lead </w:t>
            </w:r>
            <w:proofErr w:type="spellStart"/>
            <w:r w:rsidRPr="00905037">
              <w:rPr>
                <w:i/>
                <w:iCs/>
                <w:lang w:val="es-ES"/>
              </w:rPr>
              <w:t>Arrangers</w:t>
            </w:r>
            <w:proofErr w:type="spellEnd"/>
            <w:r w:rsidRPr="00905037">
              <w:rPr>
                <w:lang w:val="es-ES"/>
              </w:rPr>
              <w:t>) y como entidades financiadoras originales (</w:t>
            </w:r>
            <w:r w:rsidRPr="00905037">
              <w:rPr>
                <w:i/>
                <w:iCs/>
                <w:lang w:val="es-ES"/>
              </w:rPr>
              <w:t xml:space="preserve">Original </w:t>
            </w:r>
            <w:proofErr w:type="spellStart"/>
            <w:r w:rsidRPr="00905037">
              <w:rPr>
                <w:i/>
                <w:iCs/>
                <w:lang w:val="es-ES"/>
              </w:rPr>
              <w:t>Lenders</w:t>
            </w:r>
            <w:proofErr w:type="spellEnd"/>
            <w:r w:rsidRPr="00905037">
              <w:rPr>
                <w:lang w:val="es-ES"/>
              </w:rPr>
              <w:t>), y ING como Agente MRF 2024 (</w:t>
            </w:r>
            <w:proofErr w:type="spellStart"/>
            <w:r w:rsidRPr="00905037">
              <w:rPr>
                <w:i/>
                <w:iCs/>
                <w:lang w:val="es-ES"/>
              </w:rPr>
              <w:t>Facility</w:t>
            </w:r>
            <w:proofErr w:type="spellEnd"/>
            <w:r w:rsidRPr="00905037">
              <w:rPr>
                <w:i/>
                <w:iCs/>
                <w:lang w:val="es-ES"/>
              </w:rPr>
              <w:t xml:space="preserve"> </w:t>
            </w:r>
            <w:proofErr w:type="spellStart"/>
            <w:r w:rsidRPr="00905037">
              <w:rPr>
                <w:i/>
                <w:iCs/>
                <w:lang w:val="es-ES"/>
              </w:rPr>
              <w:t>Agent</w:t>
            </w:r>
            <w:proofErr w:type="spellEnd"/>
            <w:r w:rsidRPr="00905037">
              <w:rPr>
                <w:lang w:val="es-ES"/>
              </w:rPr>
              <w:t xml:space="preserve">) en relación con una línea de crédito </w:t>
            </w:r>
            <w:proofErr w:type="spellStart"/>
            <w:r w:rsidRPr="00905037">
              <w:rPr>
                <w:i/>
                <w:iCs/>
                <w:lang w:val="es-ES"/>
              </w:rPr>
              <w:t>revolving</w:t>
            </w:r>
            <w:proofErr w:type="spellEnd"/>
            <w:r w:rsidRPr="00905037">
              <w:rPr>
                <w:lang w:val="es-ES"/>
              </w:rPr>
              <w:t xml:space="preserve"> con el fin de financiar ciertos gastos de mantenimiento y costes relacionados. </w:t>
            </w:r>
            <w:r w:rsidRPr="000D3E9E">
              <w:rPr>
                <w:lang w:val="es-ES"/>
              </w:rPr>
              <w:t xml:space="preserve">En adelante, el </w:t>
            </w:r>
            <w:r w:rsidRPr="000D3E9E">
              <w:rPr>
                <w:lang w:val="es" w:eastAsia="es-ES"/>
              </w:rPr>
              <w:t xml:space="preserve">contrato de </w:t>
            </w:r>
            <w:r>
              <w:rPr>
                <w:lang w:val="es" w:eastAsia="es-ES"/>
              </w:rPr>
              <w:t xml:space="preserve">crédito </w:t>
            </w:r>
            <w:proofErr w:type="spellStart"/>
            <w:r>
              <w:rPr>
                <w:i/>
                <w:iCs/>
                <w:lang w:val="es" w:eastAsia="es-ES"/>
              </w:rPr>
              <w:t>revolving</w:t>
            </w:r>
            <w:proofErr w:type="spellEnd"/>
            <w:r w:rsidRPr="000D3E9E">
              <w:rPr>
                <w:lang w:val="es-ES"/>
              </w:rPr>
              <w:t xml:space="preserve">, tal y como el mismo sea modificado, extendido, ratificado y/o complementado en cada momento, será referido </w:t>
            </w:r>
            <w:r w:rsidRPr="00BD1587">
              <w:rPr>
                <w:lang w:val="es-ES"/>
              </w:rPr>
              <w:t>como</w:t>
            </w:r>
            <w:r w:rsidRPr="00BD1587">
              <w:rPr>
                <w:b/>
                <w:bCs/>
                <w:lang w:val="es-ES"/>
              </w:rPr>
              <w:t xml:space="preserve"> </w:t>
            </w:r>
            <w:r w:rsidRPr="007B0E85">
              <w:rPr>
                <w:b/>
                <w:bCs/>
                <w:lang w:val="es-ES"/>
              </w:rPr>
              <w:t>Contrato de Crédito MRF 2024</w:t>
            </w:r>
            <w:r w:rsidRPr="000D3E9E">
              <w:rPr>
                <w:lang w:val="es-ES"/>
              </w:rPr>
              <w:t>.</w:t>
            </w:r>
          </w:p>
        </w:tc>
        <w:tc>
          <w:tcPr>
            <w:tcW w:w="2500" w:type="pct"/>
            <w:shd w:val="clear" w:color="auto" w:fill="auto"/>
          </w:tcPr>
          <w:p w14:paraId="173F4215" w14:textId="7C7908A4" w:rsidR="000D089E" w:rsidRPr="00BD1587" w:rsidRDefault="000D089E" w:rsidP="00FD5DDB">
            <w:pPr>
              <w:pStyle w:val="AODocTxt"/>
              <w:numPr>
                <w:ilvl w:val="0"/>
                <w:numId w:val="39"/>
              </w:numPr>
              <w:ind w:hanging="720"/>
            </w:pPr>
            <w:r w:rsidRPr="000D3E9E">
              <w:t xml:space="preserve">That, on </w:t>
            </w:r>
            <w:r>
              <w:t>10 April 2024</w:t>
            </w:r>
            <w:r w:rsidRPr="000D3E9E">
              <w:t xml:space="preserve">, an English law </w:t>
            </w:r>
            <w:r w:rsidRPr="00823CBD">
              <w:t>EUR 14,000,000 revolving credit facilities agreement dated</w:t>
            </w:r>
            <w:r>
              <w:t xml:space="preserve"> was been entered into</w:t>
            </w:r>
            <w:r w:rsidRPr="00823CBD">
              <w:t xml:space="preserve"> between, among others, Beacon Finco </w:t>
            </w:r>
            <w:proofErr w:type="spellStart"/>
            <w:r w:rsidRPr="00823CBD">
              <w:t>S.à</w:t>
            </w:r>
            <w:proofErr w:type="spellEnd"/>
            <w:r w:rsidRPr="00823CBD">
              <w:t xml:space="preserve"> </w:t>
            </w:r>
            <w:proofErr w:type="spellStart"/>
            <w:r w:rsidRPr="00823CBD">
              <w:t>r.l</w:t>
            </w:r>
            <w:proofErr w:type="spellEnd"/>
            <w:r w:rsidRPr="00823CBD">
              <w:t xml:space="preserve">. as issuer, Beacon Rail Leasing </w:t>
            </w:r>
            <w:proofErr w:type="spellStart"/>
            <w:r w:rsidRPr="00823CBD">
              <w:t>S.à</w:t>
            </w:r>
            <w:proofErr w:type="spellEnd"/>
            <w:r w:rsidRPr="00823CBD">
              <w:t xml:space="preserve"> </w:t>
            </w:r>
            <w:proofErr w:type="spellStart"/>
            <w:r w:rsidRPr="00823CBD">
              <w:t>r.l</w:t>
            </w:r>
            <w:proofErr w:type="spellEnd"/>
            <w:r w:rsidRPr="00823CBD">
              <w:t xml:space="preserve">. as security group agent, </w:t>
            </w:r>
            <w:r w:rsidRPr="00360E60">
              <w:t xml:space="preserve">ABN Amro Bank N.V., </w:t>
            </w:r>
            <w:proofErr w:type="spellStart"/>
            <w:r w:rsidRPr="00360E60">
              <w:t>Caixabank</w:t>
            </w:r>
            <w:proofErr w:type="spellEnd"/>
            <w:r w:rsidRPr="00360E60">
              <w:t xml:space="preserve">, S.A. UK Branch, </w:t>
            </w:r>
            <w:proofErr w:type="spellStart"/>
            <w:r w:rsidRPr="00360E60">
              <w:t>Coöperati</w:t>
            </w:r>
            <w:r>
              <w:t>e</w:t>
            </w:r>
            <w:r w:rsidRPr="00360E60">
              <w:t>ve</w:t>
            </w:r>
            <w:proofErr w:type="spellEnd"/>
            <w:r w:rsidRPr="00360E60">
              <w:t xml:space="preserve"> Rabobank U.A., Cr</w:t>
            </w:r>
            <w:r>
              <w:t>é</w:t>
            </w:r>
            <w:r w:rsidRPr="00360E60">
              <w:t>dit Agricole Corporate and Investment Bank, ING Bank</w:t>
            </w:r>
            <w:r>
              <w:t>, a branch of ING-DiBa</w:t>
            </w:r>
            <w:r w:rsidRPr="00360E60">
              <w:t xml:space="preserve"> </w:t>
            </w:r>
            <w:r>
              <w:t>AG</w:t>
            </w:r>
            <w:r w:rsidRPr="00360E60">
              <w:t xml:space="preserve">, Intesa Sanpaolo Bank Ireland PLC </w:t>
            </w:r>
            <w:r>
              <w:t>and</w:t>
            </w:r>
            <w:r w:rsidRPr="00360E60">
              <w:t xml:space="preserve"> SGBTCI </w:t>
            </w:r>
            <w:r w:rsidRPr="00823CBD">
              <w:t>as mandated lead arrangers</w:t>
            </w:r>
            <w:r>
              <w:t xml:space="preserve"> and</w:t>
            </w:r>
            <w:r w:rsidRPr="00823CBD">
              <w:t xml:space="preserve"> as original lenders and </w:t>
            </w:r>
            <w:r>
              <w:t xml:space="preserve">ING </w:t>
            </w:r>
            <w:r w:rsidRPr="00823CBD">
              <w:t>as facility agent regarding a revolving credit facility for the purpose of financing certain heavy maintenance expenses and relating costs</w:t>
            </w:r>
            <w:r>
              <w:t>.</w:t>
            </w:r>
            <w:r w:rsidRPr="0035388E">
              <w:t xml:space="preserve">  Hereinafter, the </w:t>
            </w:r>
            <w:r w:rsidRPr="00823CBD">
              <w:t>revolving credit facilities agreement</w:t>
            </w:r>
            <w:r w:rsidRPr="000D3E9E">
              <w:t>, as it may be amended, extended, ratified and/or supplemented from time to time, shall be referred to as the</w:t>
            </w:r>
            <w:r w:rsidRPr="00FD5DDB">
              <w:t xml:space="preserve"> </w:t>
            </w:r>
            <w:r w:rsidRPr="00FD5DDB">
              <w:rPr>
                <w:b/>
                <w:bCs/>
              </w:rPr>
              <w:t>2024 Maintenance Reserve Facility Agreement</w:t>
            </w:r>
            <w:r w:rsidRPr="007B0E85">
              <w:t>.</w:t>
            </w:r>
          </w:p>
        </w:tc>
      </w:tr>
      <w:tr w:rsidR="000D089E" w:rsidRPr="00BD1587" w14:paraId="4649AE67"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08600E8" w14:textId="7A9CED9A" w:rsidR="000D089E" w:rsidRPr="000D3E9E" w:rsidRDefault="000D089E" w:rsidP="000D089E">
            <w:pPr>
              <w:pStyle w:val="AOA"/>
              <w:widowControl w:val="0"/>
              <w:numPr>
                <w:ilvl w:val="0"/>
                <w:numId w:val="0"/>
              </w:numPr>
              <w:ind w:left="720"/>
              <w:rPr>
                <w:lang w:val="es-ES"/>
              </w:rPr>
            </w:pPr>
            <w:r w:rsidRPr="000D3E9E">
              <w:rPr>
                <w:lang w:val="es-ES"/>
              </w:rPr>
              <w:t xml:space="preserve">El </w:t>
            </w:r>
            <w:r w:rsidRPr="007B0E85">
              <w:rPr>
                <w:lang w:val="es-ES"/>
              </w:rPr>
              <w:t xml:space="preserve">Contrato de Crédito MRF 2024 </w:t>
            </w:r>
            <w:r>
              <w:rPr>
                <w:lang w:val="es-ES"/>
              </w:rPr>
              <w:t>fue</w:t>
            </w:r>
            <w:r w:rsidRPr="000D3E9E">
              <w:rPr>
                <w:lang w:val="es-ES"/>
              </w:rPr>
              <w:t xml:space="preserve"> elevado a público </w:t>
            </w:r>
            <w:r>
              <w:rPr>
                <w:lang w:val="es-ES"/>
              </w:rPr>
              <w:t xml:space="preserve">parcialmente </w:t>
            </w:r>
            <w:r w:rsidRPr="000D3E9E">
              <w:rPr>
                <w:lang w:val="es-ES"/>
              </w:rPr>
              <w:t xml:space="preserve">en </w:t>
            </w:r>
            <w:r w:rsidR="0004794E">
              <w:rPr>
                <w:lang w:val="es-ES"/>
              </w:rPr>
              <w:t>esa</w:t>
            </w:r>
            <w:r w:rsidRPr="000D3E9E">
              <w:rPr>
                <w:lang w:val="es-ES"/>
              </w:rPr>
              <w:t xml:space="preserve"> misma fecha en virtud de póliza intervenida por </w:t>
            </w:r>
            <w:r w:rsidR="00FD3228">
              <w:rPr>
                <w:lang w:val="es-ES"/>
              </w:rPr>
              <w:t>la</w:t>
            </w:r>
            <w:r w:rsidRPr="000D3E9E">
              <w:rPr>
                <w:lang w:val="es-ES"/>
              </w:rPr>
              <w:t xml:space="preserve"> </w:t>
            </w:r>
            <w:r w:rsidRPr="00E53971">
              <w:rPr>
                <w:lang w:val="es-ES"/>
              </w:rPr>
              <w:t xml:space="preserve">Notario </w:t>
            </w:r>
            <w:r>
              <w:rPr>
                <w:lang w:val="es-ES"/>
              </w:rPr>
              <w:t>de Barcelona, Dña. Blanca Pardo García</w:t>
            </w:r>
            <w:r w:rsidR="0004794E">
              <w:rPr>
                <w:lang w:val="es-ES"/>
              </w:rPr>
              <w:t>, con el número 329 de su libro registro de operaciones.</w:t>
            </w:r>
          </w:p>
        </w:tc>
        <w:tc>
          <w:tcPr>
            <w:tcW w:w="2500" w:type="pct"/>
            <w:shd w:val="clear" w:color="auto" w:fill="auto"/>
          </w:tcPr>
          <w:p w14:paraId="0FDDAD2F" w14:textId="2866EC6B" w:rsidR="000D089E" w:rsidRPr="000D3E9E" w:rsidRDefault="000D089E" w:rsidP="000D089E">
            <w:pPr>
              <w:pStyle w:val="AOA"/>
              <w:widowControl w:val="0"/>
              <w:numPr>
                <w:ilvl w:val="0"/>
                <w:numId w:val="0"/>
              </w:numPr>
              <w:ind w:left="720"/>
            </w:pPr>
            <w:r w:rsidRPr="000D3E9E">
              <w:t xml:space="preserve">The </w:t>
            </w:r>
            <w:r w:rsidRPr="007B0E85">
              <w:t>2024 Maintenance Reserve Facility Agreement</w:t>
            </w:r>
            <w:r w:rsidRPr="00BD1587">
              <w:t xml:space="preserve"> </w:t>
            </w:r>
            <w:r>
              <w:t>was</w:t>
            </w:r>
            <w:r w:rsidRPr="000D3E9E">
              <w:t xml:space="preserve"> </w:t>
            </w:r>
            <w:r>
              <w:t>partially</w:t>
            </w:r>
            <w:r w:rsidRPr="000D3E9E">
              <w:t xml:space="preserve"> raised to the status of public document on such same date by means of a deed intervened by the </w:t>
            </w:r>
            <w:r>
              <w:t>Notary of Barcelona Ms. Blanca Pardo García</w:t>
            </w:r>
            <w:r w:rsidR="0004794E">
              <w:t>, with number 329 of her registry book of transactions.</w:t>
            </w:r>
          </w:p>
        </w:tc>
      </w:tr>
      <w:tr w:rsidR="000D089E" w:rsidRPr="00BD1587" w14:paraId="44BFE27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1B7C52A" w14:textId="6D783BB6" w:rsidR="000D089E" w:rsidRPr="00EC3723" w:rsidRDefault="000D089E" w:rsidP="00FA66CE">
            <w:pPr>
              <w:pStyle w:val="AOA"/>
              <w:widowControl w:val="0"/>
              <w:numPr>
                <w:ilvl w:val="0"/>
                <w:numId w:val="46"/>
              </w:numPr>
              <w:rPr>
                <w:lang w:val="es-ES"/>
              </w:rPr>
            </w:pPr>
            <w:r>
              <w:rPr>
                <w:lang w:val="es-ES"/>
              </w:rPr>
              <w:t xml:space="preserve">Que, </w:t>
            </w:r>
            <w:r w:rsidRPr="000D3E9E">
              <w:rPr>
                <w:lang w:val="es-ES"/>
              </w:rPr>
              <w:t xml:space="preserve">el día </w:t>
            </w:r>
            <w:r w:rsidRPr="00E2076F">
              <w:rPr>
                <w:lang w:val="es-ES"/>
              </w:rPr>
              <w:t>10</w:t>
            </w:r>
            <w:r>
              <w:rPr>
                <w:lang w:val="es-ES"/>
              </w:rPr>
              <w:t xml:space="preserve"> </w:t>
            </w:r>
            <w:r w:rsidRPr="000D3E9E">
              <w:rPr>
                <w:lang w:val="es-ES"/>
              </w:rPr>
              <w:t xml:space="preserve">de </w:t>
            </w:r>
            <w:r>
              <w:rPr>
                <w:lang w:val="es-ES"/>
              </w:rPr>
              <w:t xml:space="preserve">abril </w:t>
            </w:r>
            <w:r w:rsidRPr="000D3E9E">
              <w:rPr>
                <w:lang w:val="es-ES"/>
              </w:rPr>
              <w:t>de 202</w:t>
            </w:r>
            <w:r>
              <w:rPr>
                <w:lang w:val="es-ES"/>
              </w:rPr>
              <w:t xml:space="preserve">4 </w:t>
            </w:r>
            <w:r w:rsidRPr="000D3E9E">
              <w:rPr>
                <w:lang w:val="es-ES"/>
              </w:rPr>
              <w:t xml:space="preserve">se </w:t>
            </w:r>
            <w:r>
              <w:rPr>
                <w:lang w:val="es-ES"/>
              </w:rPr>
              <w:t>suscribió</w:t>
            </w:r>
            <w:r w:rsidRPr="000D3E9E">
              <w:rPr>
                <w:lang w:val="es-ES"/>
              </w:rPr>
              <w:t xml:space="preserve"> un </w:t>
            </w:r>
            <w:r w:rsidRPr="000D3E9E">
              <w:rPr>
                <w:lang w:val="es" w:eastAsia="es-ES"/>
              </w:rPr>
              <w:t>contrato de</w:t>
            </w:r>
            <w:r>
              <w:rPr>
                <w:lang w:val="es" w:eastAsia="es-ES"/>
              </w:rPr>
              <w:t xml:space="preserve"> novación del </w:t>
            </w:r>
            <w:r w:rsidRPr="00A60E92">
              <w:rPr>
                <w:bCs/>
                <w:lang w:val="es-ES" w:eastAsia="es-ES"/>
              </w:rPr>
              <w:t>Contrato de Liquidez 2023</w:t>
            </w:r>
            <w:r>
              <w:rPr>
                <w:bCs/>
                <w:lang w:val="es-ES" w:eastAsia="es-ES"/>
              </w:rPr>
              <w:t xml:space="preserve"> denominado en inglés “</w:t>
            </w:r>
            <w:proofErr w:type="spellStart"/>
            <w:r w:rsidRPr="00EB04A4">
              <w:rPr>
                <w:i/>
                <w:iCs/>
                <w:lang w:val="es-ES"/>
              </w:rPr>
              <w:t>Amend</w:t>
            </w:r>
            <w:bookmarkStart w:id="49" w:name="_Hlk164005150"/>
            <w:r>
              <w:rPr>
                <w:i/>
                <w:iCs/>
                <w:lang w:val="es-ES"/>
              </w:rPr>
              <w:t>ment</w:t>
            </w:r>
            <w:proofErr w:type="spellEnd"/>
            <w:r>
              <w:rPr>
                <w:i/>
                <w:iCs/>
                <w:lang w:val="es-ES"/>
              </w:rPr>
              <w:t xml:space="preserve"> </w:t>
            </w:r>
            <w:proofErr w:type="spellStart"/>
            <w:r>
              <w:rPr>
                <w:i/>
                <w:iCs/>
                <w:lang w:val="es-ES"/>
              </w:rPr>
              <w:t>Agreement</w:t>
            </w:r>
            <w:proofErr w:type="spellEnd"/>
            <w:r>
              <w:rPr>
                <w:i/>
                <w:iCs/>
                <w:lang w:val="es-ES"/>
              </w:rPr>
              <w:t xml:space="preserve"> </w:t>
            </w:r>
            <w:proofErr w:type="spellStart"/>
            <w:r>
              <w:rPr>
                <w:i/>
                <w:iCs/>
                <w:lang w:val="es-ES"/>
              </w:rPr>
              <w:t>relating</w:t>
            </w:r>
            <w:proofErr w:type="spellEnd"/>
            <w:r>
              <w:rPr>
                <w:i/>
                <w:iCs/>
                <w:lang w:val="es-ES"/>
              </w:rPr>
              <w:t xml:space="preserve"> to a </w:t>
            </w:r>
            <w:proofErr w:type="spellStart"/>
            <w:r>
              <w:rPr>
                <w:i/>
                <w:iCs/>
                <w:lang w:val="es-ES"/>
              </w:rPr>
              <w:t>Liquidity</w:t>
            </w:r>
            <w:proofErr w:type="spellEnd"/>
            <w:r>
              <w:rPr>
                <w:i/>
                <w:iCs/>
                <w:lang w:val="es-ES"/>
              </w:rPr>
              <w:t xml:space="preserve"> </w:t>
            </w:r>
            <w:proofErr w:type="spellStart"/>
            <w:r>
              <w:rPr>
                <w:i/>
                <w:iCs/>
                <w:lang w:val="es-ES"/>
              </w:rPr>
              <w:t>Facility</w:t>
            </w:r>
            <w:proofErr w:type="spellEnd"/>
            <w:r>
              <w:rPr>
                <w:i/>
                <w:iCs/>
                <w:lang w:val="es-ES"/>
              </w:rPr>
              <w:t xml:space="preserve"> </w:t>
            </w:r>
            <w:proofErr w:type="spellStart"/>
            <w:r>
              <w:rPr>
                <w:i/>
                <w:iCs/>
                <w:lang w:val="es-ES"/>
              </w:rPr>
              <w:t>Agreement</w:t>
            </w:r>
            <w:proofErr w:type="spellEnd"/>
            <w:r>
              <w:rPr>
                <w:i/>
                <w:iCs/>
                <w:lang w:val="es-ES"/>
              </w:rPr>
              <w:t xml:space="preserve"> </w:t>
            </w:r>
            <w:proofErr w:type="spellStart"/>
            <w:r>
              <w:rPr>
                <w:i/>
                <w:iCs/>
                <w:lang w:val="es-ES"/>
              </w:rPr>
              <w:t>originally</w:t>
            </w:r>
            <w:proofErr w:type="spellEnd"/>
            <w:r>
              <w:rPr>
                <w:i/>
                <w:iCs/>
                <w:lang w:val="es-ES"/>
              </w:rPr>
              <w:t xml:space="preserve"> </w:t>
            </w:r>
            <w:proofErr w:type="spellStart"/>
            <w:r>
              <w:rPr>
                <w:i/>
                <w:iCs/>
                <w:lang w:val="es-ES"/>
              </w:rPr>
              <w:t>dated</w:t>
            </w:r>
            <w:proofErr w:type="spellEnd"/>
            <w:r>
              <w:rPr>
                <w:i/>
                <w:iCs/>
                <w:lang w:val="es-ES"/>
              </w:rPr>
              <w:t xml:space="preserve"> 30 June 2023</w:t>
            </w:r>
            <w:bookmarkEnd w:id="49"/>
            <w:r>
              <w:rPr>
                <w:bCs/>
                <w:lang w:val="es-ES" w:eastAsia="es-ES"/>
              </w:rPr>
              <w:t>”</w:t>
            </w:r>
            <w:r>
              <w:rPr>
                <w:lang w:val="es-ES"/>
              </w:rPr>
              <w:t xml:space="preserve"> </w:t>
            </w:r>
            <w:r w:rsidRPr="000D3E9E">
              <w:rPr>
                <w:lang w:val="es-ES"/>
              </w:rPr>
              <w:t xml:space="preserve">sujeto a ley inglesa, por, entre otros, Beacon Finco </w:t>
            </w:r>
            <w:proofErr w:type="spellStart"/>
            <w:r w:rsidRPr="000D3E9E">
              <w:rPr>
                <w:lang w:val="es-ES"/>
              </w:rPr>
              <w:t>S.à</w:t>
            </w:r>
            <w:proofErr w:type="spellEnd"/>
            <w:r w:rsidRPr="000D3E9E">
              <w:rPr>
                <w:lang w:val="es-ES"/>
              </w:rPr>
              <w:t xml:space="preserve"> </w:t>
            </w:r>
            <w:proofErr w:type="spellStart"/>
            <w:r w:rsidRPr="000D3E9E">
              <w:rPr>
                <w:lang w:val="es-ES"/>
              </w:rPr>
              <w:t>r.l</w:t>
            </w:r>
            <w:proofErr w:type="spellEnd"/>
            <w:r w:rsidRPr="000D3E9E">
              <w:rPr>
                <w:lang w:val="es-ES"/>
              </w:rPr>
              <w:t>. como Emisora (</w:t>
            </w:r>
            <w:proofErr w:type="spellStart"/>
            <w:r w:rsidRPr="000D3E9E">
              <w:rPr>
                <w:i/>
                <w:lang w:val="es-ES"/>
              </w:rPr>
              <w:t>Issuer</w:t>
            </w:r>
            <w:proofErr w:type="spellEnd"/>
            <w:r>
              <w:rPr>
                <w:lang w:val="es-ES"/>
              </w:rPr>
              <w:t xml:space="preserve">), </w:t>
            </w:r>
            <w:r w:rsidRPr="000D3E9E">
              <w:rPr>
                <w:lang w:val="es-ES"/>
              </w:rPr>
              <w:t xml:space="preserve">Beacon Rail Leasing </w:t>
            </w:r>
            <w:proofErr w:type="spellStart"/>
            <w:r w:rsidRPr="000D3E9E">
              <w:rPr>
                <w:lang w:val="es-ES"/>
              </w:rPr>
              <w:t>S.à</w:t>
            </w:r>
            <w:proofErr w:type="spellEnd"/>
            <w:r w:rsidRPr="000D3E9E">
              <w:rPr>
                <w:lang w:val="es-ES"/>
              </w:rPr>
              <w:t xml:space="preserve"> </w:t>
            </w:r>
            <w:proofErr w:type="spellStart"/>
            <w:r w:rsidRPr="000D3E9E">
              <w:rPr>
                <w:lang w:val="es-ES"/>
              </w:rPr>
              <w:t>r.l</w:t>
            </w:r>
            <w:proofErr w:type="spellEnd"/>
            <w:r w:rsidRPr="000D3E9E">
              <w:rPr>
                <w:lang w:val="es-ES"/>
              </w:rPr>
              <w:t>. como Agente de Garantías del Grupo (</w:t>
            </w:r>
            <w:r w:rsidRPr="000D3E9E">
              <w:rPr>
                <w:i/>
                <w:lang w:val="es-ES"/>
              </w:rPr>
              <w:t xml:space="preserve">Security </w:t>
            </w:r>
            <w:proofErr w:type="spellStart"/>
            <w:r w:rsidRPr="000D3E9E">
              <w:rPr>
                <w:i/>
                <w:lang w:val="es-ES"/>
              </w:rPr>
              <w:t>Group</w:t>
            </w:r>
            <w:proofErr w:type="spellEnd"/>
            <w:r w:rsidRPr="000D3E9E">
              <w:rPr>
                <w:i/>
                <w:lang w:val="es-ES"/>
              </w:rPr>
              <w:t xml:space="preserve"> </w:t>
            </w:r>
            <w:proofErr w:type="spellStart"/>
            <w:r w:rsidRPr="000D3E9E">
              <w:rPr>
                <w:i/>
                <w:lang w:val="es-ES"/>
              </w:rPr>
              <w:t>Agent</w:t>
            </w:r>
            <w:proofErr w:type="spellEnd"/>
            <w:r w:rsidRPr="000D3E9E">
              <w:rPr>
                <w:lang w:val="es-ES"/>
              </w:rPr>
              <w:t>)</w:t>
            </w:r>
            <w:r>
              <w:rPr>
                <w:lang w:val="es-ES"/>
              </w:rPr>
              <w:t xml:space="preserve">, </w:t>
            </w:r>
            <w:r w:rsidRPr="00A60E92">
              <w:rPr>
                <w:lang w:val="es-ES"/>
              </w:rPr>
              <w:t xml:space="preserve">KfW IPEX-Bank </w:t>
            </w:r>
            <w:proofErr w:type="spellStart"/>
            <w:r w:rsidRPr="00A60E92">
              <w:rPr>
                <w:lang w:val="es-ES"/>
              </w:rPr>
              <w:t>GmbH</w:t>
            </w:r>
            <w:proofErr w:type="spellEnd"/>
            <w:r w:rsidRPr="00A60E92">
              <w:rPr>
                <w:lang w:val="es-ES"/>
              </w:rPr>
              <w:t xml:space="preserve"> </w:t>
            </w:r>
            <w:r w:rsidRPr="000D3E9E">
              <w:rPr>
                <w:lang w:val="es-ES"/>
              </w:rPr>
              <w:t xml:space="preserve">como </w:t>
            </w:r>
            <w:r>
              <w:rPr>
                <w:lang w:val="es-ES"/>
              </w:rPr>
              <w:t xml:space="preserve">como </w:t>
            </w:r>
            <w:r w:rsidRPr="000D3E9E">
              <w:rPr>
                <w:lang w:val="es-ES"/>
              </w:rPr>
              <w:t>entidad financiador</w:t>
            </w:r>
            <w:r>
              <w:rPr>
                <w:lang w:val="es-ES"/>
              </w:rPr>
              <w:t>a original (</w:t>
            </w:r>
            <w:r w:rsidRPr="00EC3723">
              <w:rPr>
                <w:i/>
                <w:iCs/>
                <w:lang w:val="es-ES"/>
              </w:rPr>
              <w:t xml:space="preserve">Original </w:t>
            </w:r>
            <w:r>
              <w:rPr>
                <w:i/>
                <w:iCs/>
                <w:lang w:val="es-ES"/>
              </w:rPr>
              <w:t xml:space="preserve">LF </w:t>
            </w:r>
            <w:r w:rsidRPr="00EC3723">
              <w:rPr>
                <w:i/>
                <w:iCs/>
                <w:lang w:val="es-ES"/>
              </w:rPr>
              <w:t>Lender</w:t>
            </w:r>
            <w:r>
              <w:rPr>
                <w:lang w:val="es-ES"/>
              </w:rPr>
              <w:t>),</w:t>
            </w:r>
            <w:r w:rsidRPr="000D3E9E">
              <w:rPr>
                <w:lang w:val="es-ES"/>
              </w:rPr>
              <w:t xml:space="preserve"> </w:t>
            </w:r>
            <w:r>
              <w:rPr>
                <w:lang w:val="es-ES"/>
              </w:rPr>
              <w:t>y ING como agente (</w:t>
            </w:r>
            <w:r w:rsidRPr="00DB70C8">
              <w:rPr>
                <w:i/>
                <w:iCs/>
                <w:lang w:val="es-ES"/>
              </w:rPr>
              <w:t xml:space="preserve">LF </w:t>
            </w:r>
            <w:proofErr w:type="spellStart"/>
            <w:r>
              <w:rPr>
                <w:i/>
                <w:iCs/>
                <w:lang w:val="es-ES"/>
              </w:rPr>
              <w:t>Agent</w:t>
            </w:r>
            <w:proofErr w:type="spellEnd"/>
            <w:r>
              <w:rPr>
                <w:lang w:val="es-ES"/>
              </w:rPr>
              <w:t xml:space="preserve">) a los efectos de </w:t>
            </w:r>
            <w:r>
              <w:rPr>
                <w:lang w:val="es-ES"/>
              </w:rPr>
              <w:lastRenderedPageBreak/>
              <w:t xml:space="preserve">incrementar la financiación en € 100.000.000. </w:t>
            </w:r>
            <w:r w:rsidRPr="000D3E9E">
              <w:rPr>
                <w:lang w:val="es-ES"/>
              </w:rPr>
              <w:t xml:space="preserve">En adelante, </w:t>
            </w:r>
            <w:r>
              <w:rPr>
                <w:lang w:val="es-ES"/>
              </w:rPr>
              <w:t xml:space="preserve">el </w:t>
            </w:r>
            <w:r w:rsidRPr="005465BE">
              <w:rPr>
                <w:b/>
                <w:bCs/>
                <w:lang w:val="es-ES"/>
              </w:rPr>
              <w:t>Contrato de Novación</w:t>
            </w:r>
            <w:r>
              <w:rPr>
                <w:b/>
                <w:bCs/>
                <w:lang w:val="es-ES"/>
              </w:rPr>
              <w:t xml:space="preserve"> del </w:t>
            </w:r>
            <w:r w:rsidRPr="00A60E92">
              <w:rPr>
                <w:b/>
                <w:lang w:val="es-ES" w:eastAsia="es-ES"/>
              </w:rPr>
              <w:t>Contrato de Liquidez 2023</w:t>
            </w:r>
            <w:r>
              <w:rPr>
                <w:lang w:val="es-ES"/>
              </w:rPr>
              <w:t>.</w:t>
            </w:r>
          </w:p>
        </w:tc>
        <w:tc>
          <w:tcPr>
            <w:tcW w:w="2500" w:type="pct"/>
            <w:shd w:val="clear" w:color="auto" w:fill="auto"/>
          </w:tcPr>
          <w:p w14:paraId="02139821" w14:textId="2F5E992D" w:rsidR="000D089E" w:rsidRDefault="000D089E" w:rsidP="00FA66CE">
            <w:pPr>
              <w:pStyle w:val="AODocTxt"/>
              <w:numPr>
                <w:ilvl w:val="0"/>
                <w:numId w:val="39"/>
              </w:numPr>
              <w:ind w:hanging="720"/>
            </w:pPr>
            <w:r>
              <w:lastRenderedPageBreak/>
              <w:t xml:space="preserve">That, on 10 April 2024, an English law amendment agreement of the </w:t>
            </w:r>
            <w:r w:rsidRPr="00FA66CE">
              <w:t xml:space="preserve">2023 Liquidity Facility Agreement was entered into between, among others, Beacon Finco </w:t>
            </w:r>
            <w:proofErr w:type="spellStart"/>
            <w:r w:rsidRPr="00FA66CE">
              <w:t>S.à</w:t>
            </w:r>
            <w:proofErr w:type="spellEnd"/>
            <w:r w:rsidRPr="00FA66CE">
              <w:t xml:space="preserve"> </w:t>
            </w:r>
            <w:proofErr w:type="spellStart"/>
            <w:r w:rsidRPr="00FA66CE">
              <w:t>r.l</w:t>
            </w:r>
            <w:proofErr w:type="spellEnd"/>
            <w:r w:rsidRPr="00FF6A9F">
              <w:t xml:space="preserve">. as issuer, Beacon Rail Leasing </w:t>
            </w:r>
            <w:proofErr w:type="spellStart"/>
            <w:r w:rsidRPr="00FF6A9F">
              <w:t>S.à</w:t>
            </w:r>
            <w:proofErr w:type="spellEnd"/>
            <w:r w:rsidRPr="00FF6A9F">
              <w:t xml:space="preserve"> </w:t>
            </w:r>
            <w:proofErr w:type="spellStart"/>
            <w:r w:rsidRPr="00FF6A9F">
              <w:t>r.l</w:t>
            </w:r>
            <w:proofErr w:type="spellEnd"/>
            <w:r w:rsidRPr="00FF6A9F">
              <w:t>. as security group agent, KfW IPEX-Bank GmbH as original</w:t>
            </w:r>
            <w:r>
              <w:t xml:space="preserve"> LF</w:t>
            </w:r>
            <w:r w:rsidRPr="00FF6A9F">
              <w:t xml:space="preserve"> lender and ING Bank N.V. as</w:t>
            </w:r>
            <w:r>
              <w:t xml:space="preserve"> LF</w:t>
            </w:r>
            <w:r w:rsidRPr="00FF6A9F">
              <w:t xml:space="preserve"> agent, regarding, inter alia, an increase of the facility amount by EUR 100,000,000</w:t>
            </w:r>
            <w:r>
              <w:t>. Hereinafter</w:t>
            </w:r>
            <w:r w:rsidRPr="0035388E">
              <w:t xml:space="preserve">, </w:t>
            </w:r>
            <w:r w:rsidRPr="000D3E9E">
              <w:t>the</w:t>
            </w:r>
            <w:r w:rsidRPr="00FA66CE">
              <w:t xml:space="preserve"> </w:t>
            </w:r>
            <w:r w:rsidRPr="00FA66CE">
              <w:rPr>
                <w:b/>
                <w:bCs/>
              </w:rPr>
              <w:t>Amendment to the 2023 Liquidity Facility Agreement</w:t>
            </w:r>
            <w:r w:rsidRPr="00A60E92">
              <w:t>.</w:t>
            </w:r>
          </w:p>
        </w:tc>
      </w:tr>
      <w:tr w:rsidR="006A7553" w:rsidRPr="006A7553" w14:paraId="54B7B68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224B726" w14:textId="7AB75082" w:rsidR="006A7553" w:rsidRPr="002166C4" w:rsidRDefault="006A7553" w:rsidP="006A7553">
            <w:pPr>
              <w:pStyle w:val="AOA"/>
              <w:widowControl w:val="0"/>
              <w:numPr>
                <w:ilvl w:val="0"/>
                <w:numId w:val="0"/>
              </w:numPr>
              <w:ind w:left="720"/>
              <w:rPr>
                <w:lang w:val="es-ES"/>
              </w:rPr>
            </w:pPr>
            <w:r w:rsidRPr="002166C4">
              <w:rPr>
                <w:lang w:val="es-ES"/>
              </w:rPr>
              <w:t xml:space="preserve">El Contrato de Novación del Contrato de Liquidez 2023 fue elevado a público parcialmente en esa misma fecha en virtud de póliza intervenida por </w:t>
            </w:r>
            <w:r w:rsidR="00FD3228">
              <w:rPr>
                <w:lang w:val="es-ES"/>
              </w:rPr>
              <w:t>la</w:t>
            </w:r>
            <w:r w:rsidRPr="002166C4">
              <w:rPr>
                <w:lang w:val="es-ES"/>
              </w:rPr>
              <w:t xml:space="preserve"> Notario de Barcelona, Dña. Blanca Pardo García, con el número 329 de su libro registro de operaciones.</w:t>
            </w:r>
          </w:p>
        </w:tc>
        <w:tc>
          <w:tcPr>
            <w:tcW w:w="2500" w:type="pct"/>
            <w:shd w:val="clear" w:color="auto" w:fill="auto"/>
          </w:tcPr>
          <w:p w14:paraId="65930871" w14:textId="739B63A8" w:rsidR="006A7553" w:rsidRPr="006A7553" w:rsidRDefault="006A7553" w:rsidP="006A7553">
            <w:pPr>
              <w:pStyle w:val="AOA"/>
              <w:widowControl w:val="0"/>
              <w:numPr>
                <w:ilvl w:val="0"/>
                <w:numId w:val="0"/>
              </w:numPr>
              <w:ind w:left="720"/>
            </w:pPr>
            <w:r w:rsidRPr="006A7553">
              <w:t>The Amendment to the 2023 Liquidity Facility Agreement was partially raised to the status of public document on such same date by means of a deed intervened by the Notary of Barcelona Ms. Blanca Pardo García, with number 329 of her registry book of transactions.</w:t>
            </w:r>
          </w:p>
        </w:tc>
      </w:tr>
      <w:tr w:rsidR="000D089E" w:rsidRPr="00BD1587" w14:paraId="77669C94"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7692AB1D" w14:textId="62A38F38" w:rsidR="000D089E" w:rsidRPr="00722CDA" w:rsidRDefault="000D089E" w:rsidP="00FA66CE">
            <w:pPr>
              <w:pStyle w:val="AOA"/>
              <w:widowControl w:val="0"/>
              <w:numPr>
                <w:ilvl w:val="0"/>
                <w:numId w:val="46"/>
              </w:numPr>
              <w:rPr>
                <w:lang w:val="es-ES"/>
              </w:rPr>
            </w:pPr>
            <w:r w:rsidRPr="00722CDA">
              <w:rPr>
                <w:lang w:val="es-ES"/>
              </w:rPr>
              <w:t>Que</w:t>
            </w:r>
            <w:r w:rsidR="006A7553">
              <w:rPr>
                <w:lang w:val="es-ES"/>
              </w:rPr>
              <w:t>, el 10 de abril de 2024, el 11 de abril de 2024 y el 18 de abril de 2024, según corresponde,</w:t>
            </w:r>
            <w:r>
              <w:rPr>
                <w:lang w:val="es-ES"/>
              </w:rPr>
              <w:t xml:space="preserve"> </w:t>
            </w:r>
            <w:r w:rsidRPr="00722CDA">
              <w:rPr>
                <w:lang w:val="es-ES"/>
              </w:rPr>
              <w:t xml:space="preserve">se </w:t>
            </w:r>
            <w:r>
              <w:rPr>
                <w:lang w:val="es-ES"/>
              </w:rPr>
              <w:t>suscribieron</w:t>
            </w:r>
            <w:r w:rsidRPr="00722CDA">
              <w:rPr>
                <w:lang w:val="es-ES"/>
              </w:rPr>
              <w:t xml:space="preserve"> </w:t>
            </w:r>
            <w:r>
              <w:rPr>
                <w:lang w:val="es-ES"/>
              </w:rPr>
              <w:t>los siguientes</w:t>
            </w:r>
            <w:r w:rsidRPr="00722CDA">
              <w:rPr>
                <w:lang w:val="es-ES"/>
              </w:rPr>
              <w:t xml:space="preserve"> contratos de cobertura entre </w:t>
            </w:r>
            <w:r w:rsidRPr="000D3E9E">
              <w:rPr>
                <w:lang w:val="es-ES"/>
              </w:rPr>
              <w:t xml:space="preserve">Beacon Finco </w:t>
            </w:r>
            <w:proofErr w:type="spellStart"/>
            <w:r w:rsidRPr="000D3E9E">
              <w:rPr>
                <w:lang w:val="es-ES"/>
              </w:rPr>
              <w:t>S.à</w:t>
            </w:r>
            <w:proofErr w:type="spellEnd"/>
            <w:r w:rsidRPr="000D3E9E">
              <w:rPr>
                <w:lang w:val="es-ES"/>
              </w:rPr>
              <w:t xml:space="preserve"> </w:t>
            </w:r>
            <w:proofErr w:type="spellStart"/>
            <w:r w:rsidRPr="000D3E9E">
              <w:rPr>
                <w:lang w:val="es-ES"/>
              </w:rPr>
              <w:t>r.l</w:t>
            </w:r>
            <w:proofErr w:type="spellEnd"/>
            <w:r w:rsidRPr="000D3E9E">
              <w:rPr>
                <w:lang w:val="es-ES"/>
              </w:rPr>
              <w:t>.</w:t>
            </w:r>
            <w:r>
              <w:rPr>
                <w:lang w:val="es-ES"/>
              </w:rPr>
              <w:t xml:space="preserve"> y ABN </w:t>
            </w:r>
            <w:proofErr w:type="spellStart"/>
            <w:r>
              <w:rPr>
                <w:lang w:val="es-ES"/>
              </w:rPr>
              <w:t>Amro</w:t>
            </w:r>
            <w:proofErr w:type="spellEnd"/>
            <w:r>
              <w:rPr>
                <w:lang w:val="es-ES"/>
              </w:rPr>
              <w:t xml:space="preserve"> Bank N.V. y </w:t>
            </w:r>
            <w:proofErr w:type="spellStart"/>
            <w:r>
              <w:rPr>
                <w:lang w:val="es-ES"/>
              </w:rPr>
              <w:t>Coöperatieve</w:t>
            </w:r>
            <w:proofErr w:type="spellEnd"/>
            <w:r>
              <w:rPr>
                <w:lang w:val="es-ES"/>
              </w:rPr>
              <w:t xml:space="preserve"> </w:t>
            </w:r>
            <w:proofErr w:type="spellStart"/>
            <w:r>
              <w:rPr>
                <w:lang w:val="es-ES"/>
              </w:rPr>
              <w:t>Rabobank</w:t>
            </w:r>
            <w:proofErr w:type="spellEnd"/>
            <w:r>
              <w:rPr>
                <w:lang w:val="es-ES"/>
              </w:rPr>
              <w:t xml:space="preserve"> U.A. como nuevas entidades de cobertura (las </w:t>
            </w:r>
            <w:r w:rsidRPr="00722CDA">
              <w:rPr>
                <w:b/>
                <w:bCs/>
                <w:lang w:val="es-ES"/>
              </w:rPr>
              <w:t>Entidades de Cobertura</w:t>
            </w:r>
            <w:r w:rsidR="009159E7">
              <w:rPr>
                <w:b/>
                <w:bCs/>
                <w:lang w:val="es-ES"/>
              </w:rPr>
              <w:t xml:space="preserve"> 2024</w:t>
            </w:r>
            <w:r>
              <w:rPr>
                <w:lang w:val="es-ES"/>
              </w:rPr>
              <w:t xml:space="preserve">), </w:t>
            </w:r>
            <w:r w:rsidRPr="00722CDA">
              <w:rPr>
                <w:lang w:val="es-ES"/>
              </w:rPr>
              <w:t>junto con sus anexos y todas aquellas confirmaciones que puedan llegar a firmarse al amparo de</w:t>
            </w:r>
            <w:r w:rsidR="009159E7">
              <w:rPr>
                <w:lang w:val="es-ES"/>
              </w:rPr>
              <w:t xml:space="preserve"> los</w:t>
            </w:r>
            <w:r w:rsidRPr="00722CDA">
              <w:rPr>
                <w:lang w:val="es-ES"/>
              </w:rPr>
              <w:t xml:space="preserve"> mismo</w:t>
            </w:r>
            <w:r w:rsidR="009159E7">
              <w:rPr>
                <w:lang w:val="es-ES"/>
              </w:rPr>
              <w:t>s</w:t>
            </w:r>
            <w:r>
              <w:rPr>
                <w:lang w:val="es-ES"/>
              </w:rPr>
              <w:t xml:space="preserve">, </w:t>
            </w:r>
            <w:bookmarkStart w:id="50" w:name="_Hlk164003750"/>
            <w:r>
              <w:rPr>
                <w:lang w:val="es-ES"/>
              </w:rPr>
              <w:t xml:space="preserve">así como </w:t>
            </w:r>
            <w:r w:rsidR="009159E7">
              <w:rPr>
                <w:lang w:val="es-ES"/>
              </w:rPr>
              <w:t>los siguientes</w:t>
            </w:r>
            <w:r>
              <w:rPr>
                <w:lang w:val="es-ES"/>
              </w:rPr>
              <w:t xml:space="preserve"> contratos de novación de Contratos de Cobertura descritos a continuación</w:t>
            </w:r>
            <w:bookmarkEnd w:id="50"/>
            <w:r w:rsidRPr="00722CDA">
              <w:rPr>
                <w:lang w:val="es-ES"/>
              </w:rPr>
              <w:t xml:space="preserve"> (los </w:t>
            </w:r>
            <w:r w:rsidRPr="00722CDA">
              <w:rPr>
                <w:b/>
                <w:bCs/>
                <w:lang w:val="es-ES"/>
              </w:rPr>
              <w:t>Contratos de Cobertura</w:t>
            </w:r>
            <w:r w:rsidR="009159E7">
              <w:rPr>
                <w:b/>
                <w:bCs/>
                <w:lang w:val="es-ES"/>
              </w:rPr>
              <w:t xml:space="preserve"> 2024</w:t>
            </w:r>
            <w:r w:rsidRPr="00722CDA">
              <w:rPr>
                <w:lang w:val="es-ES"/>
              </w:rPr>
              <w:t>)</w:t>
            </w:r>
            <w:r>
              <w:rPr>
                <w:lang w:val="es-ES"/>
              </w:rPr>
              <w:t>:</w:t>
            </w:r>
          </w:p>
        </w:tc>
        <w:tc>
          <w:tcPr>
            <w:tcW w:w="2500" w:type="pct"/>
            <w:shd w:val="clear" w:color="auto" w:fill="auto"/>
          </w:tcPr>
          <w:p w14:paraId="73BB66E0" w14:textId="105475F0" w:rsidR="000D089E" w:rsidRPr="00722CDA" w:rsidRDefault="000D089E" w:rsidP="00FA66CE">
            <w:pPr>
              <w:pStyle w:val="AODocTxt"/>
              <w:numPr>
                <w:ilvl w:val="0"/>
                <w:numId w:val="39"/>
              </w:numPr>
              <w:ind w:hanging="720"/>
            </w:pPr>
            <w:r w:rsidRPr="00722CDA">
              <w:t>That</w:t>
            </w:r>
            <w:r w:rsidR="006A7553">
              <w:t xml:space="preserve"> on 10 April 2024, 11 April 2024 and 18 April 2024, as applicable,</w:t>
            </w:r>
            <w:r>
              <w:t xml:space="preserve"> </w:t>
            </w:r>
            <w:r w:rsidRPr="00722CDA">
              <w:t xml:space="preserve">the following English hedging agreements </w:t>
            </w:r>
            <w:r>
              <w:t>was</w:t>
            </w:r>
            <w:r w:rsidRPr="00722CDA">
              <w:t xml:space="preserve"> entered into by </w:t>
            </w:r>
            <w:r w:rsidRPr="00182BE5">
              <w:t xml:space="preserve">Beacon Finco </w:t>
            </w:r>
            <w:proofErr w:type="spellStart"/>
            <w:r w:rsidRPr="00182BE5">
              <w:t>S.à</w:t>
            </w:r>
            <w:proofErr w:type="spellEnd"/>
            <w:r w:rsidRPr="00182BE5">
              <w:t xml:space="preserve"> </w:t>
            </w:r>
            <w:proofErr w:type="spellStart"/>
            <w:r w:rsidRPr="00182BE5">
              <w:t>r.l</w:t>
            </w:r>
            <w:proofErr w:type="spellEnd"/>
            <w:r>
              <w:t xml:space="preserve"> and </w:t>
            </w:r>
            <w:r w:rsidRPr="00195BC9">
              <w:t>ABN Amr</w:t>
            </w:r>
            <w:r>
              <w:t>o</w:t>
            </w:r>
            <w:r w:rsidRPr="00195BC9">
              <w:t xml:space="preserve"> Bank N.V. and </w:t>
            </w:r>
            <w:proofErr w:type="spellStart"/>
            <w:r w:rsidRPr="00195BC9">
              <w:t>Coöperati</w:t>
            </w:r>
            <w:r>
              <w:t>e</w:t>
            </w:r>
            <w:r w:rsidRPr="00195BC9">
              <w:t>ve</w:t>
            </w:r>
            <w:proofErr w:type="spellEnd"/>
            <w:r w:rsidRPr="00195BC9">
              <w:t xml:space="preserve"> Rabobank U.A. </w:t>
            </w:r>
            <w:r>
              <w:t>as new hedge counterparties (</w:t>
            </w:r>
            <w:r w:rsidRPr="00722CDA">
              <w:t xml:space="preserve">the </w:t>
            </w:r>
            <w:r w:rsidR="009159E7" w:rsidRPr="00FA66CE">
              <w:rPr>
                <w:b/>
                <w:bCs/>
              </w:rPr>
              <w:t xml:space="preserve">2024 </w:t>
            </w:r>
            <w:r w:rsidRPr="00FA66CE">
              <w:rPr>
                <w:b/>
                <w:bCs/>
              </w:rPr>
              <w:t>Hedging Counterparties</w:t>
            </w:r>
            <w:r w:rsidRPr="00722CDA">
              <w:t xml:space="preserve">), jointly with </w:t>
            </w:r>
            <w:r w:rsidR="009159E7">
              <w:t>their</w:t>
            </w:r>
            <w:r w:rsidRPr="00722CDA">
              <w:t xml:space="preserve"> annexes and all the confirmations which may be executed with regards to </w:t>
            </w:r>
            <w:r w:rsidR="009159E7">
              <w:t>their</w:t>
            </w:r>
            <w:r w:rsidRPr="00722CDA">
              <w:t xml:space="preserve"> from time to time</w:t>
            </w:r>
            <w:r>
              <w:t>, as well as the following novation agreements to the Hedging Agreements will be executed</w:t>
            </w:r>
            <w:r w:rsidRPr="00722CDA">
              <w:t xml:space="preserve"> (the </w:t>
            </w:r>
            <w:r w:rsidRPr="00FA66CE">
              <w:rPr>
                <w:b/>
                <w:bCs/>
              </w:rPr>
              <w:t>Hedging Agreements</w:t>
            </w:r>
            <w:r w:rsidR="009159E7" w:rsidRPr="00FA66CE">
              <w:rPr>
                <w:b/>
                <w:bCs/>
              </w:rPr>
              <w:t xml:space="preserve"> 2024</w:t>
            </w:r>
            <w:r w:rsidRPr="00722CDA">
              <w:t>):</w:t>
            </w:r>
          </w:p>
        </w:tc>
      </w:tr>
      <w:tr w:rsidR="000D089E" w:rsidRPr="00BD1587" w14:paraId="4B1F9B01"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46F57390" w14:textId="26334F42" w:rsidR="000D089E" w:rsidRPr="00C851BF" w:rsidRDefault="000D089E" w:rsidP="00FA66CE">
            <w:pPr>
              <w:pStyle w:val="AOHead3"/>
              <w:numPr>
                <w:ilvl w:val="2"/>
                <w:numId w:val="51"/>
              </w:numPr>
              <w:rPr>
                <w:lang w:val="es-ES"/>
              </w:rPr>
            </w:pPr>
            <w:r w:rsidRPr="00C851BF">
              <w:rPr>
                <w:lang w:val="es-ES"/>
              </w:rPr>
              <w:t>un contrato marco ISDA</w:t>
            </w:r>
            <w:r>
              <w:rPr>
                <w:lang w:val="es-ES"/>
              </w:rPr>
              <w:t xml:space="preserve"> </w:t>
            </w:r>
            <w:r w:rsidRPr="00C851BF">
              <w:rPr>
                <w:lang w:val="es-ES"/>
              </w:rPr>
              <w:t>sujeto a derecho inglés (</w:t>
            </w:r>
            <w:r w:rsidRPr="00C851BF">
              <w:rPr>
                <w:i/>
                <w:iCs/>
                <w:lang w:val="es-ES"/>
              </w:rPr>
              <w:t xml:space="preserve">ISDA </w:t>
            </w:r>
            <w:proofErr w:type="gramStart"/>
            <w:r w:rsidRPr="00C851BF">
              <w:rPr>
                <w:i/>
                <w:iCs/>
                <w:lang w:val="es-ES"/>
              </w:rPr>
              <w:t>Master</w:t>
            </w:r>
            <w:proofErr w:type="gramEnd"/>
            <w:r w:rsidRPr="00C851BF">
              <w:rPr>
                <w:i/>
                <w:iCs/>
                <w:lang w:val="es-ES"/>
              </w:rPr>
              <w:t xml:space="preserve"> </w:t>
            </w:r>
            <w:proofErr w:type="spellStart"/>
            <w:r w:rsidRPr="00C851BF">
              <w:rPr>
                <w:i/>
                <w:iCs/>
                <w:lang w:val="es-ES"/>
              </w:rPr>
              <w:t>Agreement</w:t>
            </w:r>
            <w:proofErr w:type="spellEnd"/>
            <w:r w:rsidRPr="00C851BF">
              <w:rPr>
                <w:lang w:val="es-ES"/>
              </w:rPr>
              <w:t>)</w:t>
            </w:r>
            <w:r>
              <w:rPr>
                <w:lang w:val="es-ES"/>
              </w:rPr>
              <w:t xml:space="preserve"> </w:t>
            </w:r>
            <w:r w:rsidRPr="00C851BF">
              <w:rPr>
                <w:lang w:val="es-ES"/>
              </w:rPr>
              <w:t xml:space="preserve">(tal y como este término se define en el MDA) </w:t>
            </w:r>
            <w:r>
              <w:rPr>
                <w:lang w:val="es-ES"/>
              </w:rPr>
              <w:t xml:space="preserve">suscrito el 10 de abril de 2024 </w:t>
            </w:r>
            <w:r w:rsidRPr="00C851BF">
              <w:rPr>
                <w:lang w:val="es-ES"/>
              </w:rPr>
              <w:t xml:space="preserve">por, entre otros, Beacon Finco </w:t>
            </w:r>
            <w:proofErr w:type="spellStart"/>
            <w:r w:rsidRPr="00C851BF">
              <w:rPr>
                <w:lang w:val="es-ES"/>
              </w:rPr>
              <w:t>S.à</w:t>
            </w:r>
            <w:proofErr w:type="spellEnd"/>
            <w:r w:rsidRPr="00C851BF">
              <w:rPr>
                <w:lang w:val="es-ES"/>
              </w:rPr>
              <w:t xml:space="preserve"> </w:t>
            </w:r>
            <w:proofErr w:type="spellStart"/>
            <w:r w:rsidRPr="00C851BF">
              <w:rPr>
                <w:lang w:val="es-ES"/>
              </w:rPr>
              <w:t>r.l</w:t>
            </w:r>
            <w:proofErr w:type="spellEnd"/>
            <w:r w:rsidRPr="00C851BF">
              <w:rPr>
                <w:lang w:val="es-ES"/>
              </w:rPr>
              <w:t xml:space="preserve">. y ABN </w:t>
            </w:r>
            <w:proofErr w:type="spellStart"/>
            <w:r w:rsidRPr="00C851BF">
              <w:rPr>
                <w:lang w:val="es-ES"/>
              </w:rPr>
              <w:t>Amro</w:t>
            </w:r>
            <w:proofErr w:type="spellEnd"/>
            <w:r w:rsidRPr="00C851BF">
              <w:rPr>
                <w:lang w:val="es-ES"/>
              </w:rPr>
              <w:t xml:space="preserve"> Bank N.V., y el Anexo relacionado a dicho contrato marco ISDA;</w:t>
            </w:r>
          </w:p>
        </w:tc>
        <w:tc>
          <w:tcPr>
            <w:tcW w:w="2500" w:type="pct"/>
            <w:shd w:val="clear" w:color="auto" w:fill="auto"/>
          </w:tcPr>
          <w:p w14:paraId="515F2BC9" w14:textId="45BCA343" w:rsidR="000D089E" w:rsidRPr="00C851BF" w:rsidRDefault="000D089E" w:rsidP="00FA66CE">
            <w:pPr>
              <w:pStyle w:val="AOHead3"/>
              <w:numPr>
                <w:ilvl w:val="2"/>
                <w:numId w:val="49"/>
              </w:numPr>
            </w:pPr>
            <w:r w:rsidRPr="00C851BF">
              <w:t xml:space="preserve">an English law governed ISDA Master Agreement (as defined in the MDA) </w:t>
            </w:r>
            <w:proofErr w:type="gramStart"/>
            <w:r>
              <w:t xml:space="preserve">entered </w:t>
            </w:r>
            <w:r w:rsidRPr="00C851BF">
              <w:t>into</w:t>
            </w:r>
            <w:proofErr w:type="gramEnd"/>
            <w:r w:rsidRPr="00C851BF">
              <w:t xml:space="preserve"> on 10 April 2024</w:t>
            </w:r>
            <w:r>
              <w:t xml:space="preserve"> </w:t>
            </w:r>
            <w:r w:rsidRPr="00C851BF">
              <w:t xml:space="preserve">between, inter alios, Beacon Finco </w:t>
            </w:r>
            <w:proofErr w:type="spellStart"/>
            <w:r w:rsidRPr="00C851BF">
              <w:t>S.à</w:t>
            </w:r>
            <w:proofErr w:type="spellEnd"/>
            <w:r w:rsidRPr="00C851BF">
              <w:t xml:space="preserve"> </w:t>
            </w:r>
            <w:proofErr w:type="spellStart"/>
            <w:r w:rsidRPr="00C851BF">
              <w:t>r.l</w:t>
            </w:r>
            <w:proofErr w:type="spellEnd"/>
            <w:r w:rsidRPr="00C851BF">
              <w:t>. and ABN Amro Bank N.V., and the related Schedule to the ISDA Master Agreement;</w:t>
            </w:r>
          </w:p>
        </w:tc>
      </w:tr>
      <w:tr w:rsidR="000D089E" w:rsidRPr="00BD1587" w14:paraId="534D6ECB"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A9A0AEC" w14:textId="0950463D" w:rsidR="000D089E" w:rsidRPr="00C851BF" w:rsidRDefault="000D089E" w:rsidP="000D089E">
            <w:pPr>
              <w:pStyle w:val="AOHead3"/>
              <w:rPr>
                <w:lang w:val="es-ES"/>
              </w:rPr>
            </w:pPr>
            <w:r w:rsidRPr="00C851BF">
              <w:rPr>
                <w:lang w:val="es-ES"/>
              </w:rPr>
              <w:t>un contrato marco ISDA sujeto a derecho inglés (</w:t>
            </w:r>
            <w:r w:rsidRPr="00C851BF">
              <w:rPr>
                <w:i/>
                <w:iCs/>
                <w:lang w:val="es-ES"/>
              </w:rPr>
              <w:t xml:space="preserve">ISDA </w:t>
            </w:r>
            <w:proofErr w:type="gramStart"/>
            <w:r w:rsidRPr="00C851BF">
              <w:rPr>
                <w:i/>
                <w:iCs/>
                <w:lang w:val="es-ES"/>
              </w:rPr>
              <w:t>Master</w:t>
            </w:r>
            <w:proofErr w:type="gramEnd"/>
            <w:r w:rsidRPr="00C851BF">
              <w:rPr>
                <w:i/>
                <w:iCs/>
                <w:lang w:val="es-ES"/>
              </w:rPr>
              <w:t xml:space="preserve"> </w:t>
            </w:r>
            <w:proofErr w:type="spellStart"/>
            <w:r w:rsidRPr="00C851BF">
              <w:rPr>
                <w:i/>
                <w:iCs/>
                <w:lang w:val="es-ES"/>
              </w:rPr>
              <w:t>Agreement</w:t>
            </w:r>
            <w:proofErr w:type="spellEnd"/>
            <w:r w:rsidRPr="00C851BF">
              <w:rPr>
                <w:lang w:val="es-ES"/>
              </w:rPr>
              <w:t xml:space="preserve">) (tal y como este término se define en el MDA) </w:t>
            </w:r>
            <w:r>
              <w:rPr>
                <w:lang w:val="es-ES"/>
              </w:rPr>
              <w:t>suscrito el 11 de abril de 2024</w:t>
            </w:r>
            <w:r w:rsidRPr="00C851BF">
              <w:rPr>
                <w:lang w:val="es-ES"/>
              </w:rPr>
              <w:t xml:space="preserve"> por, y entre otros, Beacon Finco </w:t>
            </w:r>
            <w:proofErr w:type="spellStart"/>
            <w:r w:rsidRPr="00C851BF">
              <w:rPr>
                <w:lang w:val="es-ES"/>
              </w:rPr>
              <w:t>S.à</w:t>
            </w:r>
            <w:proofErr w:type="spellEnd"/>
            <w:r w:rsidRPr="00C851BF">
              <w:rPr>
                <w:lang w:val="es-ES"/>
              </w:rPr>
              <w:t xml:space="preserve"> </w:t>
            </w:r>
            <w:proofErr w:type="spellStart"/>
            <w:r w:rsidRPr="00C851BF">
              <w:rPr>
                <w:lang w:val="es-ES"/>
              </w:rPr>
              <w:t>r.l</w:t>
            </w:r>
            <w:proofErr w:type="spellEnd"/>
            <w:r w:rsidRPr="00C851BF">
              <w:rPr>
                <w:lang w:val="es-ES"/>
              </w:rPr>
              <w:t xml:space="preserve">. y </w:t>
            </w:r>
            <w:proofErr w:type="spellStart"/>
            <w:r w:rsidRPr="00C851BF">
              <w:rPr>
                <w:lang w:val="es-ES"/>
              </w:rPr>
              <w:t>Coöperati</w:t>
            </w:r>
            <w:r>
              <w:rPr>
                <w:lang w:val="es-ES"/>
              </w:rPr>
              <w:t>e</w:t>
            </w:r>
            <w:r w:rsidRPr="00C851BF">
              <w:rPr>
                <w:lang w:val="es-ES"/>
              </w:rPr>
              <w:t>ve</w:t>
            </w:r>
            <w:proofErr w:type="spellEnd"/>
            <w:r w:rsidRPr="00C851BF">
              <w:rPr>
                <w:lang w:val="es-ES"/>
              </w:rPr>
              <w:t xml:space="preserve"> </w:t>
            </w:r>
            <w:proofErr w:type="spellStart"/>
            <w:r w:rsidRPr="00C851BF">
              <w:rPr>
                <w:lang w:val="es-ES"/>
              </w:rPr>
              <w:t>Rabobank</w:t>
            </w:r>
            <w:proofErr w:type="spellEnd"/>
            <w:r w:rsidRPr="00C851BF">
              <w:rPr>
                <w:lang w:val="es-ES"/>
              </w:rPr>
              <w:t xml:space="preserve"> U.A., y el Anexo relacionado a dicho contrato marco ISDA;</w:t>
            </w:r>
          </w:p>
        </w:tc>
        <w:tc>
          <w:tcPr>
            <w:tcW w:w="2500" w:type="pct"/>
            <w:shd w:val="clear" w:color="auto" w:fill="auto"/>
          </w:tcPr>
          <w:p w14:paraId="42A1C69E" w14:textId="2EEE037C" w:rsidR="000D089E" w:rsidRPr="00C851BF" w:rsidRDefault="000D089E" w:rsidP="00FA66CE">
            <w:pPr>
              <w:pStyle w:val="AOHead3"/>
              <w:numPr>
                <w:ilvl w:val="2"/>
                <w:numId w:val="54"/>
              </w:numPr>
            </w:pPr>
            <w:r w:rsidRPr="00C851BF">
              <w:t xml:space="preserve">an English law governed ISDA Master Agreement (as defined in the MDA) </w:t>
            </w:r>
            <w:proofErr w:type="gramStart"/>
            <w:r>
              <w:t xml:space="preserve">entered </w:t>
            </w:r>
            <w:r w:rsidRPr="00C851BF">
              <w:t>into</w:t>
            </w:r>
            <w:proofErr w:type="gramEnd"/>
            <w:r w:rsidRPr="00C851BF">
              <w:t xml:space="preserve"> on 1</w:t>
            </w:r>
            <w:r>
              <w:t>1</w:t>
            </w:r>
            <w:r w:rsidRPr="00C851BF">
              <w:t xml:space="preserve"> April 2024</w:t>
            </w:r>
            <w:r>
              <w:t xml:space="preserve"> </w:t>
            </w:r>
            <w:r w:rsidRPr="00C851BF">
              <w:t xml:space="preserve">between, inter alios, Beacon Finco </w:t>
            </w:r>
            <w:proofErr w:type="spellStart"/>
            <w:r w:rsidRPr="00C851BF">
              <w:t>S.à</w:t>
            </w:r>
            <w:proofErr w:type="spellEnd"/>
            <w:r w:rsidRPr="00C851BF">
              <w:t xml:space="preserve"> </w:t>
            </w:r>
            <w:proofErr w:type="spellStart"/>
            <w:r w:rsidRPr="00C851BF">
              <w:t>r.l</w:t>
            </w:r>
            <w:proofErr w:type="spellEnd"/>
            <w:r w:rsidRPr="00C851BF">
              <w:t xml:space="preserve">. and </w:t>
            </w:r>
            <w:proofErr w:type="spellStart"/>
            <w:r w:rsidRPr="00C851BF">
              <w:t>Coöperati</w:t>
            </w:r>
            <w:r>
              <w:t>e</w:t>
            </w:r>
            <w:r w:rsidRPr="00C851BF">
              <w:t>ve</w:t>
            </w:r>
            <w:proofErr w:type="spellEnd"/>
            <w:r w:rsidRPr="00C851BF">
              <w:t xml:space="preserve"> Rabobank U.A., and the related Schedule to the ISDA Master Agreement;</w:t>
            </w:r>
          </w:p>
        </w:tc>
      </w:tr>
      <w:tr w:rsidR="000D089E" w:rsidRPr="00BD1587" w14:paraId="25114652"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6A0F094" w14:textId="0C45DB37" w:rsidR="000D089E" w:rsidRPr="00C851BF" w:rsidRDefault="000D089E" w:rsidP="00FA66CE">
            <w:pPr>
              <w:pStyle w:val="AOHead3"/>
              <w:numPr>
                <w:ilvl w:val="2"/>
                <w:numId w:val="53"/>
              </w:numPr>
              <w:rPr>
                <w:lang w:val="es-ES"/>
              </w:rPr>
            </w:pPr>
            <w:r w:rsidRPr="00C851BF">
              <w:rPr>
                <w:lang w:val="es-ES"/>
              </w:rPr>
              <w:t xml:space="preserve">un documento de adhesión de entidad de cobertura, sujeto a derecho inglés </w:t>
            </w:r>
            <w:r>
              <w:rPr>
                <w:lang w:val="es-ES"/>
              </w:rPr>
              <w:t xml:space="preserve">suscrito el 10 de abril de 2024 </w:t>
            </w:r>
            <w:r w:rsidRPr="00C851BF">
              <w:rPr>
                <w:lang w:val="es-ES"/>
              </w:rPr>
              <w:t xml:space="preserve">por, entre otros, Beacon Finco </w:t>
            </w:r>
            <w:proofErr w:type="spellStart"/>
            <w:r w:rsidRPr="00C851BF">
              <w:rPr>
                <w:lang w:val="es-ES"/>
              </w:rPr>
              <w:t>S.à</w:t>
            </w:r>
            <w:proofErr w:type="spellEnd"/>
            <w:r w:rsidRPr="00C851BF">
              <w:rPr>
                <w:lang w:val="es-ES"/>
              </w:rPr>
              <w:t xml:space="preserve"> </w:t>
            </w:r>
            <w:proofErr w:type="spellStart"/>
            <w:r w:rsidRPr="00C851BF">
              <w:rPr>
                <w:lang w:val="es-ES"/>
              </w:rPr>
              <w:t>r.l</w:t>
            </w:r>
            <w:proofErr w:type="spellEnd"/>
            <w:r w:rsidRPr="00C851BF">
              <w:rPr>
                <w:lang w:val="es-ES"/>
              </w:rPr>
              <w:t xml:space="preserve">. y ABN </w:t>
            </w:r>
            <w:proofErr w:type="spellStart"/>
            <w:r w:rsidRPr="00C851BF">
              <w:rPr>
                <w:lang w:val="es-ES"/>
              </w:rPr>
              <w:t>Amro</w:t>
            </w:r>
            <w:proofErr w:type="spellEnd"/>
            <w:r w:rsidRPr="00C851BF">
              <w:rPr>
                <w:lang w:val="es-ES"/>
              </w:rPr>
              <w:t xml:space="preserve"> Bank N.V.;</w:t>
            </w:r>
          </w:p>
        </w:tc>
        <w:tc>
          <w:tcPr>
            <w:tcW w:w="2500" w:type="pct"/>
            <w:shd w:val="clear" w:color="auto" w:fill="auto"/>
          </w:tcPr>
          <w:p w14:paraId="473A5D12" w14:textId="5D1ACC5F" w:rsidR="000D089E" w:rsidRPr="00C851BF" w:rsidRDefault="000D089E" w:rsidP="00FA66CE">
            <w:pPr>
              <w:pStyle w:val="AOHead3"/>
              <w:numPr>
                <w:ilvl w:val="2"/>
                <w:numId w:val="52"/>
              </w:numPr>
            </w:pPr>
            <w:r w:rsidRPr="00C851BF">
              <w:t>an English law governed hedge counterparty</w:t>
            </w:r>
            <w:r>
              <w:t xml:space="preserve"> </w:t>
            </w:r>
            <w:r w:rsidRPr="00C851BF">
              <w:t xml:space="preserve">accession memorandum </w:t>
            </w:r>
            <w:proofErr w:type="gramStart"/>
            <w:r>
              <w:t xml:space="preserve">entered </w:t>
            </w:r>
            <w:r w:rsidRPr="00C851BF">
              <w:t>into</w:t>
            </w:r>
            <w:proofErr w:type="gramEnd"/>
            <w:r w:rsidRPr="00C851BF">
              <w:t xml:space="preserve"> on 1</w:t>
            </w:r>
            <w:r>
              <w:t>0</w:t>
            </w:r>
            <w:r w:rsidRPr="00C851BF">
              <w:t xml:space="preserve"> April 2024</w:t>
            </w:r>
            <w:r>
              <w:t xml:space="preserve"> </w:t>
            </w:r>
            <w:r w:rsidRPr="00C851BF">
              <w:t xml:space="preserve">between, inter alios, Beacon Finco </w:t>
            </w:r>
            <w:proofErr w:type="spellStart"/>
            <w:r w:rsidRPr="00C851BF">
              <w:t>S.à</w:t>
            </w:r>
            <w:proofErr w:type="spellEnd"/>
            <w:r w:rsidRPr="00C851BF">
              <w:t xml:space="preserve"> </w:t>
            </w:r>
            <w:proofErr w:type="spellStart"/>
            <w:r w:rsidRPr="00C851BF">
              <w:t>r.l</w:t>
            </w:r>
            <w:proofErr w:type="spellEnd"/>
            <w:r w:rsidRPr="00C851BF">
              <w:t xml:space="preserve">.  and ABN Amro Bank N.V.; </w:t>
            </w:r>
          </w:p>
        </w:tc>
      </w:tr>
      <w:tr w:rsidR="000D089E" w:rsidRPr="00BD1587" w14:paraId="3683BD2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0993ECA" w14:textId="2F879583" w:rsidR="000D089E" w:rsidRPr="00C851BF" w:rsidRDefault="000D089E" w:rsidP="00FA66CE">
            <w:pPr>
              <w:pStyle w:val="AOHead3"/>
              <w:numPr>
                <w:ilvl w:val="2"/>
                <w:numId w:val="53"/>
              </w:numPr>
              <w:rPr>
                <w:lang w:val="es-ES"/>
              </w:rPr>
            </w:pPr>
            <w:r w:rsidRPr="00C851BF">
              <w:rPr>
                <w:lang w:val="es-ES"/>
              </w:rPr>
              <w:lastRenderedPageBreak/>
              <w:t xml:space="preserve">un documento de adhesión de entidad de cobertura, sujeto a derecho inglés </w:t>
            </w:r>
            <w:r>
              <w:rPr>
                <w:lang w:val="es-ES"/>
              </w:rPr>
              <w:t xml:space="preserve">suscrito el 11 de abril de 2024 </w:t>
            </w:r>
            <w:r w:rsidRPr="00C851BF">
              <w:rPr>
                <w:lang w:val="es-ES"/>
              </w:rPr>
              <w:t xml:space="preserve">por, entre otros, Beacon Finco </w:t>
            </w:r>
            <w:proofErr w:type="spellStart"/>
            <w:r w:rsidRPr="00C851BF">
              <w:rPr>
                <w:lang w:val="es-ES"/>
              </w:rPr>
              <w:t>S.à</w:t>
            </w:r>
            <w:proofErr w:type="spellEnd"/>
            <w:r w:rsidRPr="00C851BF">
              <w:rPr>
                <w:lang w:val="es-ES"/>
              </w:rPr>
              <w:t xml:space="preserve"> </w:t>
            </w:r>
            <w:proofErr w:type="spellStart"/>
            <w:r w:rsidRPr="00C851BF">
              <w:rPr>
                <w:lang w:val="es-ES"/>
              </w:rPr>
              <w:t>r.l</w:t>
            </w:r>
            <w:proofErr w:type="spellEnd"/>
            <w:r w:rsidRPr="00C851BF">
              <w:rPr>
                <w:lang w:val="es-ES"/>
              </w:rPr>
              <w:t xml:space="preserve">. y </w:t>
            </w:r>
            <w:proofErr w:type="spellStart"/>
            <w:r w:rsidRPr="00C851BF">
              <w:rPr>
                <w:lang w:val="es-ES"/>
              </w:rPr>
              <w:t>Coöperati</w:t>
            </w:r>
            <w:r>
              <w:rPr>
                <w:lang w:val="es-ES"/>
              </w:rPr>
              <w:t>e</w:t>
            </w:r>
            <w:r w:rsidRPr="00C851BF">
              <w:rPr>
                <w:lang w:val="es-ES"/>
              </w:rPr>
              <w:t>ve</w:t>
            </w:r>
            <w:proofErr w:type="spellEnd"/>
            <w:r w:rsidRPr="00C851BF">
              <w:rPr>
                <w:lang w:val="es-ES"/>
              </w:rPr>
              <w:t xml:space="preserve"> </w:t>
            </w:r>
            <w:proofErr w:type="spellStart"/>
            <w:r w:rsidRPr="00C851BF">
              <w:rPr>
                <w:lang w:val="es-ES"/>
              </w:rPr>
              <w:t>Rabobank</w:t>
            </w:r>
            <w:proofErr w:type="spellEnd"/>
            <w:r w:rsidRPr="00C851BF">
              <w:rPr>
                <w:lang w:val="es-ES"/>
              </w:rPr>
              <w:t xml:space="preserve"> U.A.;</w:t>
            </w:r>
          </w:p>
        </w:tc>
        <w:tc>
          <w:tcPr>
            <w:tcW w:w="2500" w:type="pct"/>
            <w:shd w:val="clear" w:color="auto" w:fill="auto"/>
          </w:tcPr>
          <w:p w14:paraId="120A76FF" w14:textId="0D582F64" w:rsidR="000D089E" w:rsidRPr="00C851BF" w:rsidRDefault="000D089E" w:rsidP="00FA66CE">
            <w:pPr>
              <w:pStyle w:val="AOHead3"/>
              <w:numPr>
                <w:ilvl w:val="2"/>
                <w:numId w:val="55"/>
              </w:numPr>
            </w:pPr>
            <w:r w:rsidRPr="00C851BF">
              <w:t xml:space="preserve">an English law governed hedge counterparty accession memorandum </w:t>
            </w:r>
            <w:proofErr w:type="gramStart"/>
            <w:r>
              <w:t>entered into</w:t>
            </w:r>
            <w:proofErr w:type="gramEnd"/>
            <w:r>
              <w:t xml:space="preserve"> </w:t>
            </w:r>
            <w:r w:rsidRPr="00C851BF">
              <w:t>on 11 April 2024</w:t>
            </w:r>
            <w:r>
              <w:t xml:space="preserve"> </w:t>
            </w:r>
            <w:r w:rsidRPr="00C851BF">
              <w:t xml:space="preserve">between, inter alios, Beacon Finco </w:t>
            </w:r>
            <w:proofErr w:type="spellStart"/>
            <w:r w:rsidRPr="00C851BF">
              <w:t>S.à</w:t>
            </w:r>
            <w:proofErr w:type="spellEnd"/>
            <w:r w:rsidRPr="00C851BF">
              <w:t xml:space="preserve"> </w:t>
            </w:r>
            <w:proofErr w:type="spellStart"/>
            <w:r w:rsidRPr="00C851BF">
              <w:t>r.l</w:t>
            </w:r>
            <w:proofErr w:type="spellEnd"/>
            <w:r w:rsidRPr="00C851BF">
              <w:t xml:space="preserve">.  and </w:t>
            </w:r>
            <w:proofErr w:type="spellStart"/>
            <w:r w:rsidRPr="00C851BF">
              <w:t>Coöperati</w:t>
            </w:r>
            <w:r>
              <w:t>e</w:t>
            </w:r>
            <w:r w:rsidRPr="00C851BF">
              <w:t>ve</w:t>
            </w:r>
            <w:proofErr w:type="spellEnd"/>
            <w:r w:rsidRPr="00C851BF">
              <w:t xml:space="preserve"> Rabobank U.A.; </w:t>
            </w:r>
          </w:p>
        </w:tc>
      </w:tr>
      <w:tr w:rsidR="000D089E" w:rsidRPr="00BD1587" w14:paraId="5E99B11D"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2DE44D59" w14:textId="61D10F71" w:rsidR="000D089E" w:rsidRPr="00C851BF" w:rsidRDefault="000D089E" w:rsidP="00FA66CE">
            <w:pPr>
              <w:pStyle w:val="AOHead3"/>
              <w:numPr>
                <w:ilvl w:val="2"/>
                <w:numId w:val="53"/>
              </w:numPr>
              <w:rPr>
                <w:lang w:val="es-ES"/>
              </w:rPr>
            </w:pPr>
            <w:r w:rsidRPr="00C851BF">
              <w:rPr>
                <w:lang w:val="es-ES"/>
              </w:rPr>
              <w:t xml:space="preserve">un contrato de novación de un contrato de cobertura, sujeto a derecho inglés </w:t>
            </w:r>
            <w:r>
              <w:rPr>
                <w:lang w:val="es-ES"/>
              </w:rPr>
              <w:t>a ser suscrito en o antes d</w:t>
            </w:r>
            <w:r w:rsidRPr="00C851BF">
              <w:rPr>
                <w:lang w:val="es-ES"/>
              </w:rPr>
              <w:t xml:space="preserve">el día </w:t>
            </w:r>
            <w:r w:rsidRPr="00147506">
              <w:rPr>
                <w:lang w:val="es-ES"/>
              </w:rPr>
              <w:t xml:space="preserve">18 </w:t>
            </w:r>
            <w:r w:rsidRPr="00C851BF">
              <w:rPr>
                <w:lang w:val="es-ES"/>
              </w:rPr>
              <w:t>de abril de 2024</w:t>
            </w:r>
            <w:r>
              <w:rPr>
                <w:lang w:val="es-ES"/>
              </w:rPr>
              <w:t xml:space="preserve"> por</w:t>
            </w:r>
            <w:r w:rsidRPr="00C851BF">
              <w:rPr>
                <w:lang w:val="es-ES"/>
              </w:rPr>
              <w:t>,</w:t>
            </w:r>
            <w:r>
              <w:rPr>
                <w:lang w:val="es-ES"/>
              </w:rPr>
              <w:t xml:space="preserve"> </w:t>
            </w:r>
            <w:r w:rsidRPr="00C851BF">
              <w:rPr>
                <w:lang w:val="es-ES"/>
              </w:rPr>
              <w:t xml:space="preserve">entre otros, la Beacon Finco </w:t>
            </w:r>
            <w:proofErr w:type="spellStart"/>
            <w:r w:rsidRPr="00C851BF">
              <w:rPr>
                <w:lang w:val="es-ES"/>
              </w:rPr>
              <w:t>S.à</w:t>
            </w:r>
            <w:proofErr w:type="spellEnd"/>
            <w:r w:rsidRPr="00C851BF">
              <w:rPr>
                <w:lang w:val="es-ES"/>
              </w:rPr>
              <w:t xml:space="preserve"> </w:t>
            </w:r>
            <w:proofErr w:type="spellStart"/>
            <w:r w:rsidRPr="00C851BF">
              <w:rPr>
                <w:lang w:val="es-ES"/>
              </w:rPr>
              <w:t>r.l</w:t>
            </w:r>
            <w:proofErr w:type="spellEnd"/>
            <w:r w:rsidRPr="00C851BF">
              <w:rPr>
                <w:lang w:val="es-ES"/>
              </w:rPr>
              <w:t xml:space="preserve">. y ABN </w:t>
            </w:r>
            <w:proofErr w:type="spellStart"/>
            <w:r w:rsidRPr="00C851BF">
              <w:rPr>
                <w:lang w:val="es-ES"/>
              </w:rPr>
              <w:t>Amro</w:t>
            </w:r>
            <w:proofErr w:type="spellEnd"/>
            <w:r w:rsidRPr="00C851BF">
              <w:rPr>
                <w:lang w:val="es-ES"/>
              </w:rPr>
              <w:t xml:space="preserve"> Bank N.V.; </w:t>
            </w:r>
          </w:p>
        </w:tc>
        <w:tc>
          <w:tcPr>
            <w:tcW w:w="2500" w:type="pct"/>
            <w:shd w:val="clear" w:color="auto" w:fill="auto"/>
          </w:tcPr>
          <w:p w14:paraId="2A7827C0" w14:textId="6CEFAA05" w:rsidR="000D089E" w:rsidRPr="00C851BF" w:rsidRDefault="000D089E" w:rsidP="00FA66CE">
            <w:pPr>
              <w:pStyle w:val="AOHead3"/>
              <w:numPr>
                <w:ilvl w:val="2"/>
                <w:numId w:val="56"/>
              </w:numPr>
            </w:pPr>
            <w:r w:rsidRPr="00C851BF">
              <w:t xml:space="preserve">an English law governed hedging novation agreement </w:t>
            </w:r>
            <w:r>
              <w:t xml:space="preserve">to be </w:t>
            </w:r>
            <w:r w:rsidRPr="00C851BF">
              <w:t xml:space="preserve">entered into on </w:t>
            </w:r>
            <w:r>
              <w:t>or before 18</w:t>
            </w:r>
            <w:r w:rsidRPr="00C851BF">
              <w:t xml:space="preserve"> April 2024</w:t>
            </w:r>
            <w:r>
              <w:t xml:space="preserve"> </w:t>
            </w:r>
            <w:r w:rsidRPr="00C851BF">
              <w:t xml:space="preserve">between, inter alios, Beacon Finco </w:t>
            </w:r>
            <w:proofErr w:type="spellStart"/>
            <w:r w:rsidRPr="00C851BF">
              <w:t>S.à</w:t>
            </w:r>
            <w:proofErr w:type="spellEnd"/>
            <w:r w:rsidRPr="00C851BF">
              <w:t xml:space="preserve"> </w:t>
            </w:r>
            <w:proofErr w:type="spellStart"/>
            <w:r w:rsidRPr="00C851BF">
              <w:t>r.l</w:t>
            </w:r>
            <w:proofErr w:type="spellEnd"/>
            <w:r w:rsidRPr="00C851BF">
              <w:t xml:space="preserve">.  and ABN Amro Bank N.V.; </w:t>
            </w:r>
          </w:p>
        </w:tc>
      </w:tr>
      <w:tr w:rsidR="000D089E" w:rsidRPr="00BD1587" w14:paraId="39BEB3C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6E3FB5BC" w14:textId="410DC936" w:rsidR="000D089E" w:rsidRPr="00C851BF" w:rsidRDefault="000D089E" w:rsidP="000D089E">
            <w:pPr>
              <w:pStyle w:val="AOHead3"/>
              <w:rPr>
                <w:lang w:val="es-ES"/>
              </w:rPr>
            </w:pPr>
            <w:r w:rsidRPr="00C851BF">
              <w:rPr>
                <w:lang w:val="es-ES"/>
              </w:rPr>
              <w:t xml:space="preserve">un contrato de novación de un contrato de cobertura, sujeto a derecho inglés </w:t>
            </w:r>
            <w:r>
              <w:rPr>
                <w:lang w:val="es-ES"/>
              </w:rPr>
              <w:t>a ser suscrito en o antes d</w:t>
            </w:r>
            <w:r w:rsidRPr="00C851BF">
              <w:rPr>
                <w:lang w:val="es-ES"/>
              </w:rPr>
              <w:t xml:space="preserve">el día </w:t>
            </w:r>
            <w:r w:rsidRPr="00147506">
              <w:rPr>
                <w:lang w:val="es-ES"/>
              </w:rPr>
              <w:t>18</w:t>
            </w:r>
            <w:r w:rsidRPr="00C851BF">
              <w:rPr>
                <w:lang w:val="es-ES"/>
              </w:rPr>
              <w:t xml:space="preserve"> de abril de 2024</w:t>
            </w:r>
            <w:r>
              <w:rPr>
                <w:lang w:val="es-ES"/>
              </w:rPr>
              <w:t xml:space="preserve"> por</w:t>
            </w:r>
            <w:r w:rsidRPr="00C851BF">
              <w:rPr>
                <w:lang w:val="es-ES"/>
              </w:rPr>
              <w:t>,</w:t>
            </w:r>
            <w:r>
              <w:rPr>
                <w:lang w:val="es-ES"/>
              </w:rPr>
              <w:t xml:space="preserve"> </w:t>
            </w:r>
            <w:r w:rsidRPr="00C851BF">
              <w:rPr>
                <w:lang w:val="es-ES"/>
              </w:rPr>
              <w:t xml:space="preserve">entre otros, la Beacon Finco </w:t>
            </w:r>
            <w:proofErr w:type="spellStart"/>
            <w:r w:rsidRPr="00C851BF">
              <w:rPr>
                <w:lang w:val="es-ES"/>
              </w:rPr>
              <w:t>S.à</w:t>
            </w:r>
            <w:proofErr w:type="spellEnd"/>
            <w:r w:rsidRPr="00C851BF">
              <w:rPr>
                <w:lang w:val="es-ES"/>
              </w:rPr>
              <w:t xml:space="preserve"> </w:t>
            </w:r>
            <w:proofErr w:type="spellStart"/>
            <w:r w:rsidRPr="00C851BF">
              <w:rPr>
                <w:lang w:val="es-ES"/>
              </w:rPr>
              <w:t>r.l</w:t>
            </w:r>
            <w:proofErr w:type="spellEnd"/>
            <w:r w:rsidRPr="00C851BF">
              <w:rPr>
                <w:lang w:val="es-ES"/>
              </w:rPr>
              <w:t xml:space="preserve">. y </w:t>
            </w:r>
            <w:proofErr w:type="spellStart"/>
            <w:r w:rsidRPr="00C851BF">
              <w:rPr>
                <w:lang w:val="es-ES"/>
              </w:rPr>
              <w:t>Coöperati</w:t>
            </w:r>
            <w:r>
              <w:rPr>
                <w:lang w:val="es-ES"/>
              </w:rPr>
              <w:t>e</w:t>
            </w:r>
            <w:r w:rsidRPr="00C851BF">
              <w:rPr>
                <w:lang w:val="es-ES"/>
              </w:rPr>
              <w:t>ve</w:t>
            </w:r>
            <w:proofErr w:type="spellEnd"/>
            <w:r w:rsidRPr="00C851BF">
              <w:rPr>
                <w:lang w:val="es-ES"/>
              </w:rPr>
              <w:t xml:space="preserve"> </w:t>
            </w:r>
            <w:proofErr w:type="spellStart"/>
            <w:r w:rsidRPr="00C851BF">
              <w:rPr>
                <w:lang w:val="es-ES"/>
              </w:rPr>
              <w:t>Rabobank</w:t>
            </w:r>
            <w:proofErr w:type="spellEnd"/>
            <w:r w:rsidRPr="00C851BF">
              <w:rPr>
                <w:lang w:val="es-ES"/>
              </w:rPr>
              <w:t xml:space="preserve"> U.A.; y</w:t>
            </w:r>
          </w:p>
        </w:tc>
        <w:tc>
          <w:tcPr>
            <w:tcW w:w="2500" w:type="pct"/>
            <w:shd w:val="clear" w:color="auto" w:fill="auto"/>
          </w:tcPr>
          <w:p w14:paraId="1D2BF0B9" w14:textId="46915EB4" w:rsidR="000D089E" w:rsidRPr="00C851BF" w:rsidRDefault="000D089E" w:rsidP="00FA66CE">
            <w:pPr>
              <w:pStyle w:val="AOHead3"/>
              <w:numPr>
                <w:ilvl w:val="2"/>
                <w:numId w:val="57"/>
              </w:numPr>
            </w:pPr>
            <w:r w:rsidRPr="00C851BF">
              <w:t xml:space="preserve">an English law governed hedging novation agreement </w:t>
            </w:r>
            <w:r>
              <w:t xml:space="preserve">to be </w:t>
            </w:r>
            <w:r w:rsidRPr="00C851BF">
              <w:t xml:space="preserve">entered into on </w:t>
            </w:r>
            <w:r w:rsidRPr="00250394">
              <w:t xml:space="preserve">or before </w:t>
            </w:r>
            <w:r>
              <w:t>18</w:t>
            </w:r>
            <w:r w:rsidRPr="00C851BF">
              <w:t xml:space="preserve"> April 2024</w:t>
            </w:r>
            <w:r>
              <w:t xml:space="preserve"> </w:t>
            </w:r>
            <w:r w:rsidRPr="00C851BF">
              <w:t>between,</w:t>
            </w:r>
            <w:r>
              <w:t xml:space="preserve"> </w:t>
            </w:r>
            <w:r w:rsidRPr="00C851BF">
              <w:t xml:space="preserve">inter alios, Beacon Finco </w:t>
            </w:r>
            <w:proofErr w:type="spellStart"/>
            <w:r w:rsidRPr="00C851BF">
              <w:t>S.à</w:t>
            </w:r>
            <w:proofErr w:type="spellEnd"/>
            <w:r w:rsidRPr="00C851BF">
              <w:t xml:space="preserve"> </w:t>
            </w:r>
            <w:proofErr w:type="spellStart"/>
            <w:r w:rsidRPr="00C851BF">
              <w:t>r.l</w:t>
            </w:r>
            <w:proofErr w:type="spellEnd"/>
            <w:r w:rsidRPr="00C851BF">
              <w:t xml:space="preserve">.  and </w:t>
            </w:r>
            <w:proofErr w:type="spellStart"/>
            <w:r w:rsidRPr="00C851BF">
              <w:t>Coöperati</w:t>
            </w:r>
            <w:r>
              <w:t>e</w:t>
            </w:r>
            <w:r w:rsidRPr="00C851BF">
              <w:t>ve</w:t>
            </w:r>
            <w:proofErr w:type="spellEnd"/>
            <w:r w:rsidRPr="00C851BF">
              <w:t xml:space="preserve"> Rabobank U.A.; and</w:t>
            </w:r>
          </w:p>
        </w:tc>
      </w:tr>
      <w:tr w:rsidR="000D089E" w:rsidRPr="00BD1587" w14:paraId="56DE0633"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15C8179" w14:textId="31A6E0B8" w:rsidR="000D089E" w:rsidRPr="00C851BF" w:rsidRDefault="000D089E" w:rsidP="000D089E">
            <w:pPr>
              <w:pStyle w:val="AOHead3"/>
              <w:rPr>
                <w:lang w:val="es-ES"/>
              </w:rPr>
            </w:pPr>
            <w:r w:rsidRPr="00C851BF">
              <w:rPr>
                <w:lang w:val="es-ES"/>
              </w:rPr>
              <w:t xml:space="preserve">un contrato de novación de un contrato de cobertura, sujeto a derecho inglés </w:t>
            </w:r>
            <w:r>
              <w:rPr>
                <w:lang w:val="es-ES"/>
              </w:rPr>
              <w:t>a ser suscrito en o antes d</w:t>
            </w:r>
            <w:r w:rsidRPr="00C851BF">
              <w:rPr>
                <w:lang w:val="es-ES"/>
              </w:rPr>
              <w:t xml:space="preserve">el día </w:t>
            </w:r>
            <w:r w:rsidRPr="00147506">
              <w:rPr>
                <w:lang w:val="es-ES"/>
              </w:rPr>
              <w:t xml:space="preserve">18 </w:t>
            </w:r>
            <w:r w:rsidRPr="00C851BF">
              <w:rPr>
                <w:lang w:val="es-ES"/>
              </w:rPr>
              <w:t>de abril de 2024</w:t>
            </w:r>
            <w:r>
              <w:rPr>
                <w:lang w:val="es-ES"/>
              </w:rPr>
              <w:t xml:space="preserve"> por</w:t>
            </w:r>
            <w:r w:rsidRPr="00C851BF">
              <w:rPr>
                <w:lang w:val="es-ES"/>
              </w:rPr>
              <w:t>,</w:t>
            </w:r>
            <w:r>
              <w:rPr>
                <w:lang w:val="es-ES"/>
              </w:rPr>
              <w:t xml:space="preserve"> </w:t>
            </w:r>
            <w:r w:rsidRPr="00C851BF">
              <w:rPr>
                <w:lang w:val="es-ES"/>
              </w:rPr>
              <w:t xml:space="preserve">entre otros, la Beacon Finco </w:t>
            </w:r>
            <w:proofErr w:type="spellStart"/>
            <w:r w:rsidRPr="00C851BF">
              <w:rPr>
                <w:lang w:val="es-ES"/>
              </w:rPr>
              <w:t>S.à</w:t>
            </w:r>
            <w:proofErr w:type="spellEnd"/>
            <w:r w:rsidRPr="00C851BF">
              <w:rPr>
                <w:lang w:val="es-ES"/>
              </w:rPr>
              <w:t xml:space="preserve"> </w:t>
            </w:r>
            <w:proofErr w:type="spellStart"/>
            <w:r w:rsidRPr="00C851BF">
              <w:rPr>
                <w:lang w:val="es-ES"/>
              </w:rPr>
              <w:t>r.l</w:t>
            </w:r>
            <w:proofErr w:type="spellEnd"/>
            <w:r w:rsidRPr="00C851BF">
              <w:rPr>
                <w:lang w:val="es-ES"/>
              </w:rPr>
              <w:t>. y ING Bank N.V.</w:t>
            </w:r>
          </w:p>
        </w:tc>
        <w:tc>
          <w:tcPr>
            <w:tcW w:w="2500" w:type="pct"/>
            <w:shd w:val="clear" w:color="auto" w:fill="auto"/>
          </w:tcPr>
          <w:p w14:paraId="44DFC038" w14:textId="69C29469" w:rsidR="000D089E" w:rsidRPr="00C851BF" w:rsidRDefault="000D089E" w:rsidP="00FA66CE">
            <w:pPr>
              <w:pStyle w:val="AOHead3"/>
              <w:numPr>
                <w:ilvl w:val="2"/>
                <w:numId w:val="58"/>
              </w:numPr>
            </w:pPr>
            <w:r w:rsidRPr="00C851BF">
              <w:t>an English law governed hedging novation agreement</w:t>
            </w:r>
            <w:r>
              <w:t xml:space="preserve"> to be</w:t>
            </w:r>
            <w:r w:rsidRPr="00C851BF">
              <w:t xml:space="preserve"> entered into on </w:t>
            </w:r>
            <w:r w:rsidRPr="00250394">
              <w:t xml:space="preserve">or before </w:t>
            </w:r>
            <w:r>
              <w:t>18</w:t>
            </w:r>
            <w:r w:rsidRPr="00C851BF">
              <w:t xml:space="preserve"> April 2024</w:t>
            </w:r>
            <w:r>
              <w:t xml:space="preserve"> </w:t>
            </w:r>
            <w:r w:rsidRPr="00C851BF">
              <w:t xml:space="preserve">between, inter alios Beacon Finco </w:t>
            </w:r>
            <w:proofErr w:type="spellStart"/>
            <w:r w:rsidRPr="00C851BF">
              <w:t>S.à</w:t>
            </w:r>
            <w:proofErr w:type="spellEnd"/>
            <w:r w:rsidRPr="00C851BF">
              <w:t xml:space="preserve"> </w:t>
            </w:r>
            <w:proofErr w:type="spellStart"/>
            <w:r w:rsidRPr="00C851BF">
              <w:t>r.l</w:t>
            </w:r>
            <w:proofErr w:type="spellEnd"/>
            <w:r w:rsidRPr="00C851BF">
              <w:t>. and ING Bank N.V.</w:t>
            </w:r>
          </w:p>
        </w:tc>
      </w:tr>
      <w:tr w:rsidR="000D089E" w:rsidRPr="00BD1587" w14:paraId="10940C0C"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108D17F2" w14:textId="440A6529" w:rsidR="000D089E" w:rsidRPr="00316E16" w:rsidRDefault="000D089E" w:rsidP="00FA66CE">
            <w:pPr>
              <w:pStyle w:val="AOA"/>
              <w:widowControl w:val="0"/>
              <w:numPr>
                <w:ilvl w:val="0"/>
                <w:numId w:val="47"/>
              </w:numPr>
              <w:rPr>
                <w:color w:val="000000" w:themeColor="text1"/>
                <w:lang w:val="es-ES"/>
              </w:rPr>
            </w:pPr>
            <w:r w:rsidRPr="00316E16">
              <w:rPr>
                <w:color w:val="000000" w:themeColor="text1"/>
                <w:lang w:val="es-ES"/>
              </w:rPr>
              <w:t xml:space="preserve">Que, el día 1 de marzo de 2024 se suscribió por Beacon Rail Leasing, </w:t>
            </w:r>
            <w:proofErr w:type="spellStart"/>
            <w:r w:rsidRPr="00316E16">
              <w:rPr>
                <w:color w:val="000000" w:themeColor="text1"/>
                <w:lang w:val="es-ES"/>
              </w:rPr>
              <w:t>S.à</w:t>
            </w:r>
            <w:proofErr w:type="spellEnd"/>
            <w:r w:rsidRPr="00316E16">
              <w:rPr>
                <w:color w:val="000000" w:themeColor="text1"/>
                <w:lang w:val="es-ES"/>
              </w:rPr>
              <w:t xml:space="preserve"> </w:t>
            </w:r>
            <w:proofErr w:type="spellStart"/>
            <w:r w:rsidRPr="00316E16">
              <w:rPr>
                <w:color w:val="000000" w:themeColor="text1"/>
                <w:lang w:val="es-ES"/>
              </w:rPr>
              <w:t>r.l</w:t>
            </w:r>
            <w:proofErr w:type="spellEnd"/>
            <w:r w:rsidRPr="00316E16">
              <w:rPr>
                <w:color w:val="000000" w:themeColor="text1"/>
                <w:lang w:val="es-ES"/>
              </w:rPr>
              <w:t xml:space="preserve">. como </w:t>
            </w:r>
            <w:r w:rsidRPr="009245CE">
              <w:rPr>
                <w:i/>
                <w:iCs/>
                <w:color w:val="000000" w:themeColor="text1"/>
                <w:lang w:val="es-ES"/>
              </w:rPr>
              <w:t xml:space="preserve">Security </w:t>
            </w:r>
            <w:proofErr w:type="spellStart"/>
            <w:r w:rsidRPr="009245CE">
              <w:rPr>
                <w:i/>
                <w:iCs/>
                <w:color w:val="000000" w:themeColor="text1"/>
                <w:lang w:val="es-ES"/>
              </w:rPr>
              <w:t>Group</w:t>
            </w:r>
            <w:proofErr w:type="spellEnd"/>
            <w:r w:rsidRPr="009245CE">
              <w:rPr>
                <w:i/>
                <w:iCs/>
                <w:color w:val="000000" w:themeColor="text1"/>
                <w:lang w:val="es-ES"/>
              </w:rPr>
              <w:t xml:space="preserve"> </w:t>
            </w:r>
            <w:proofErr w:type="spellStart"/>
            <w:r w:rsidRPr="009245CE">
              <w:rPr>
                <w:i/>
                <w:iCs/>
                <w:color w:val="000000" w:themeColor="text1"/>
                <w:lang w:val="es-ES"/>
              </w:rPr>
              <w:t>Agent</w:t>
            </w:r>
            <w:proofErr w:type="spellEnd"/>
            <w:r w:rsidRPr="00316E16">
              <w:rPr>
                <w:color w:val="000000" w:themeColor="text1"/>
                <w:lang w:val="es-ES"/>
              </w:rPr>
              <w:t xml:space="preserve"> e ING como Agente de Garantías una carta de voto de novación </w:t>
            </w:r>
            <w:r w:rsidRPr="00316E16">
              <w:rPr>
                <w:bCs/>
                <w:color w:val="000000" w:themeColor="text1"/>
                <w:lang w:val="es-ES" w:eastAsia="es-ES"/>
              </w:rPr>
              <w:t>denominada en inglés “</w:t>
            </w:r>
            <w:r w:rsidRPr="00316E16">
              <w:rPr>
                <w:i/>
                <w:iCs/>
                <w:color w:val="000000" w:themeColor="text1"/>
                <w:lang w:val="es-ES"/>
              </w:rPr>
              <w:t xml:space="preserve">STID </w:t>
            </w:r>
            <w:proofErr w:type="spellStart"/>
            <w:r w:rsidRPr="00316E16">
              <w:rPr>
                <w:i/>
                <w:iCs/>
                <w:color w:val="000000" w:themeColor="text1"/>
                <w:lang w:val="es-ES"/>
              </w:rPr>
              <w:t>Proposal</w:t>
            </w:r>
            <w:proofErr w:type="spellEnd"/>
            <w:r w:rsidRPr="00316E16">
              <w:rPr>
                <w:bCs/>
                <w:color w:val="000000" w:themeColor="text1"/>
                <w:lang w:val="es-ES" w:eastAsia="es-ES"/>
              </w:rPr>
              <w:t>”</w:t>
            </w:r>
            <w:r w:rsidRPr="00316E16">
              <w:rPr>
                <w:color w:val="000000" w:themeColor="text1"/>
                <w:lang w:val="es-ES"/>
              </w:rPr>
              <w:t xml:space="preserve"> sujeta a ley inglesa, en relación con una propuesta de, entre otros extremos, el MDA y el CTA. En adelante, la </w:t>
            </w:r>
            <w:r w:rsidRPr="00316E16">
              <w:rPr>
                <w:b/>
                <w:bCs/>
                <w:color w:val="000000" w:themeColor="text1"/>
                <w:lang w:val="es-ES"/>
              </w:rPr>
              <w:t>Carta de Novación 2024</w:t>
            </w:r>
            <w:r w:rsidRPr="00316E16">
              <w:rPr>
                <w:color w:val="000000" w:themeColor="text1"/>
                <w:lang w:val="es-ES"/>
              </w:rPr>
              <w:t>.</w:t>
            </w:r>
          </w:p>
        </w:tc>
        <w:tc>
          <w:tcPr>
            <w:tcW w:w="2500" w:type="pct"/>
            <w:shd w:val="clear" w:color="auto" w:fill="auto"/>
          </w:tcPr>
          <w:p w14:paraId="0FDC46C7" w14:textId="427200A9" w:rsidR="000D089E" w:rsidRPr="00FA66CE" w:rsidRDefault="000D089E" w:rsidP="00FA66CE">
            <w:pPr>
              <w:pStyle w:val="AODocTxt"/>
              <w:numPr>
                <w:ilvl w:val="0"/>
                <w:numId w:val="39"/>
              </w:numPr>
              <w:ind w:hanging="720"/>
            </w:pPr>
            <w:r w:rsidRPr="00FA66CE">
              <w:t xml:space="preserve">That, on 1 March 2024, an English law voting request to the STID denominated “STID Proposal” was entered into by Beacon Rail Leasing, </w:t>
            </w:r>
            <w:proofErr w:type="spellStart"/>
            <w:r w:rsidRPr="00FA66CE">
              <w:t>S.à</w:t>
            </w:r>
            <w:proofErr w:type="spellEnd"/>
            <w:r w:rsidRPr="00FA66CE">
              <w:t xml:space="preserve"> </w:t>
            </w:r>
            <w:proofErr w:type="spellStart"/>
            <w:r w:rsidRPr="00FA66CE">
              <w:t>r.l</w:t>
            </w:r>
            <w:proofErr w:type="spellEnd"/>
            <w:r w:rsidRPr="00FA66CE">
              <w:t xml:space="preserve">. as Security Group Agent and ING as Security Trustee in relation to, among others, the amendment of the CTA and the MDA, </w:t>
            </w:r>
            <w:r w:rsidRPr="00FA66CE">
              <w:rPr>
                <w:b/>
                <w:bCs/>
              </w:rPr>
              <w:t>the 2024 Amendment Letter</w:t>
            </w:r>
            <w:r w:rsidRPr="00FA66CE">
              <w:t>.</w:t>
            </w:r>
          </w:p>
        </w:tc>
      </w:tr>
      <w:tr w:rsidR="000D089E" w:rsidRPr="005C6F30" w14:paraId="672BC415"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5A535EF3" w14:textId="29788991" w:rsidR="000D089E" w:rsidRPr="00696B17" w:rsidRDefault="000D089E" w:rsidP="000D089E">
            <w:pPr>
              <w:pStyle w:val="AOA"/>
              <w:rPr>
                <w:lang w:val="es-ES"/>
              </w:rPr>
            </w:pPr>
            <w:bookmarkStart w:id="51" w:name="_Hlk163230237"/>
            <w:r w:rsidRPr="00696B17">
              <w:rPr>
                <w:lang w:val="es-ES"/>
              </w:rPr>
              <w:t xml:space="preserve">Que, el día </w:t>
            </w:r>
            <w:r>
              <w:rPr>
                <w:lang w:val="es-ES"/>
              </w:rPr>
              <w:t xml:space="preserve">12 </w:t>
            </w:r>
            <w:r w:rsidRPr="00696B17">
              <w:rPr>
                <w:lang w:val="es-ES"/>
              </w:rPr>
              <w:t xml:space="preserve">de </w:t>
            </w:r>
            <w:r>
              <w:rPr>
                <w:lang w:val="es-ES"/>
              </w:rPr>
              <w:t>abril</w:t>
            </w:r>
            <w:r w:rsidRPr="00696B17">
              <w:rPr>
                <w:lang w:val="es-ES"/>
              </w:rPr>
              <w:t xml:space="preserve"> de 2024 se </w:t>
            </w:r>
            <w:r>
              <w:rPr>
                <w:lang w:val="es-ES"/>
              </w:rPr>
              <w:t>suscribió</w:t>
            </w:r>
            <w:r w:rsidRPr="00696B17">
              <w:rPr>
                <w:lang w:val="es-ES"/>
              </w:rPr>
              <w:t xml:space="preserve"> una carta de</w:t>
            </w:r>
            <w:r>
              <w:rPr>
                <w:lang w:val="es-ES"/>
              </w:rPr>
              <w:t xml:space="preserve"> solicitud de</w:t>
            </w:r>
            <w:r w:rsidRPr="00696B17">
              <w:rPr>
                <w:lang w:val="es-ES"/>
              </w:rPr>
              <w:t xml:space="preserve"> novación </w:t>
            </w:r>
            <w:r>
              <w:rPr>
                <w:lang w:val="es-ES"/>
              </w:rPr>
              <w:t xml:space="preserve">en </w:t>
            </w:r>
            <w:r w:rsidRPr="00AF5378">
              <w:rPr>
                <w:lang w:val="es-ES"/>
              </w:rPr>
              <w:t xml:space="preserve">relación con ciertas modificaciones solicitadas por Beacon Finco, </w:t>
            </w:r>
            <w:proofErr w:type="spellStart"/>
            <w:r w:rsidRPr="00AF5378">
              <w:rPr>
                <w:lang w:val="es-ES"/>
              </w:rPr>
              <w:t>S.à</w:t>
            </w:r>
            <w:proofErr w:type="spellEnd"/>
            <w:r w:rsidRPr="00AF5378">
              <w:rPr>
                <w:lang w:val="es-ES"/>
              </w:rPr>
              <w:t xml:space="preserve"> </w:t>
            </w:r>
            <w:proofErr w:type="spellStart"/>
            <w:r w:rsidRPr="00AF5378">
              <w:rPr>
                <w:lang w:val="es-ES"/>
              </w:rPr>
              <w:t>r.l</w:t>
            </w:r>
            <w:proofErr w:type="spellEnd"/>
            <w:r w:rsidRPr="00AF5378">
              <w:rPr>
                <w:lang w:val="es-ES"/>
              </w:rPr>
              <w:t xml:space="preserve">., en su calidad de </w:t>
            </w:r>
            <w:r>
              <w:rPr>
                <w:lang w:val="es-ES"/>
              </w:rPr>
              <w:t>e</w:t>
            </w:r>
            <w:r w:rsidRPr="00AF5378">
              <w:rPr>
                <w:lang w:val="es-ES"/>
              </w:rPr>
              <w:t>misor</w:t>
            </w:r>
            <w:r>
              <w:rPr>
                <w:lang w:val="es-ES"/>
              </w:rPr>
              <w:t xml:space="preserve"> (</w:t>
            </w:r>
            <w:proofErr w:type="spellStart"/>
            <w:r w:rsidRPr="00263728">
              <w:rPr>
                <w:i/>
                <w:iCs/>
                <w:lang w:val="es-ES"/>
              </w:rPr>
              <w:t>Issuer</w:t>
            </w:r>
            <w:proofErr w:type="spellEnd"/>
            <w:r>
              <w:rPr>
                <w:lang w:val="es-ES"/>
              </w:rPr>
              <w:t>)</w:t>
            </w:r>
            <w:r w:rsidRPr="00AF5378">
              <w:rPr>
                <w:lang w:val="es-ES"/>
              </w:rPr>
              <w:t xml:space="preserve">, en </w:t>
            </w:r>
            <w:r>
              <w:rPr>
                <w:lang w:val="es-ES"/>
              </w:rPr>
              <w:t>relación</w:t>
            </w:r>
            <w:r w:rsidRPr="00AF5378">
              <w:rPr>
                <w:lang w:val="es-ES"/>
              </w:rPr>
              <w:t xml:space="preserve"> con </w:t>
            </w:r>
            <w:r>
              <w:rPr>
                <w:lang w:val="es-ES"/>
              </w:rPr>
              <w:t xml:space="preserve">el tramo </w:t>
            </w:r>
            <w:proofErr w:type="spellStart"/>
            <w:r w:rsidRPr="00263728">
              <w:rPr>
                <w:i/>
                <w:iCs/>
                <w:lang w:val="es-ES"/>
              </w:rPr>
              <w:t>capex</w:t>
            </w:r>
            <w:proofErr w:type="spellEnd"/>
            <w:r w:rsidRPr="00AF5378">
              <w:rPr>
                <w:lang w:val="es-ES"/>
              </w:rPr>
              <w:t xml:space="preserve"> </w:t>
            </w:r>
            <w:r>
              <w:rPr>
                <w:lang w:val="es-ES"/>
              </w:rPr>
              <w:t>(</w:t>
            </w:r>
            <w:proofErr w:type="spellStart"/>
            <w:r w:rsidRPr="00263728">
              <w:rPr>
                <w:i/>
                <w:iCs/>
                <w:lang w:val="es-ES"/>
              </w:rPr>
              <w:t>capex</w:t>
            </w:r>
            <w:proofErr w:type="spellEnd"/>
            <w:r w:rsidRPr="00263728">
              <w:rPr>
                <w:i/>
                <w:iCs/>
                <w:lang w:val="es-ES"/>
              </w:rPr>
              <w:t xml:space="preserve"> </w:t>
            </w:r>
            <w:proofErr w:type="spellStart"/>
            <w:r w:rsidRPr="00263728">
              <w:rPr>
                <w:i/>
                <w:iCs/>
                <w:lang w:val="es-ES"/>
              </w:rPr>
              <w:t>facility</w:t>
            </w:r>
            <w:proofErr w:type="spellEnd"/>
            <w:r>
              <w:rPr>
                <w:lang w:val="es-ES"/>
              </w:rPr>
              <w:t>)</w:t>
            </w:r>
            <w:r w:rsidRPr="00AF5378">
              <w:rPr>
                <w:lang w:val="es-ES"/>
              </w:rPr>
              <w:t xml:space="preserve"> y </w:t>
            </w:r>
            <w:r>
              <w:rPr>
                <w:lang w:val="es-ES"/>
              </w:rPr>
              <w:t xml:space="preserve">el tramo </w:t>
            </w:r>
            <w:r w:rsidRPr="00263728">
              <w:rPr>
                <w:lang w:val="es-ES"/>
              </w:rPr>
              <w:t>WCF</w:t>
            </w:r>
            <w:r w:rsidRPr="00AF5378">
              <w:rPr>
                <w:lang w:val="es-ES"/>
              </w:rPr>
              <w:t xml:space="preserve"> (</w:t>
            </w:r>
            <w:r w:rsidRPr="00263728">
              <w:rPr>
                <w:i/>
                <w:iCs/>
                <w:lang w:val="es-ES"/>
              </w:rPr>
              <w:t xml:space="preserve">WCF </w:t>
            </w:r>
            <w:proofErr w:type="spellStart"/>
            <w:r w:rsidRPr="00263728">
              <w:rPr>
                <w:i/>
                <w:iCs/>
                <w:lang w:val="es-ES"/>
              </w:rPr>
              <w:t>facility</w:t>
            </w:r>
            <w:proofErr w:type="spellEnd"/>
            <w:r w:rsidRPr="00AF5378">
              <w:rPr>
                <w:lang w:val="es-ES"/>
              </w:rPr>
              <w:t xml:space="preserve">) </w:t>
            </w:r>
            <w:r>
              <w:rPr>
                <w:lang w:val="es-ES"/>
              </w:rPr>
              <w:t xml:space="preserve">bajo el </w:t>
            </w:r>
            <w:r w:rsidRPr="006B558F">
              <w:rPr>
                <w:lang w:val="es-ES" w:eastAsia="es-ES"/>
              </w:rPr>
              <w:t>C</w:t>
            </w:r>
            <w:proofErr w:type="spellStart"/>
            <w:r w:rsidRPr="006B558F">
              <w:rPr>
                <w:lang w:val="es" w:eastAsia="es-ES"/>
              </w:rPr>
              <w:t>ontrato</w:t>
            </w:r>
            <w:proofErr w:type="spellEnd"/>
            <w:r w:rsidRPr="006B558F">
              <w:rPr>
                <w:lang w:val="es" w:eastAsia="es-ES"/>
              </w:rPr>
              <w:t xml:space="preserve"> de Crédito Autorizado Inicial</w:t>
            </w:r>
            <w:r w:rsidRPr="006B558F">
              <w:rPr>
                <w:lang w:val="es-ES"/>
              </w:rPr>
              <w:t xml:space="preserve">, sujeta a ley inglesa por Beacon Finco, </w:t>
            </w:r>
            <w:proofErr w:type="spellStart"/>
            <w:r w:rsidRPr="006B558F">
              <w:rPr>
                <w:lang w:val="es-ES"/>
              </w:rPr>
              <w:t>S.à</w:t>
            </w:r>
            <w:proofErr w:type="spellEnd"/>
            <w:r w:rsidRPr="006B558F">
              <w:rPr>
                <w:lang w:val="es-ES"/>
              </w:rPr>
              <w:t xml:space="preserve"> </w:t>
            </w:r>
            <w:proofErr w:type="spellStart"/>
            <w:r w:rsidRPr="006B558F">
              <w:rPr>
                <w:lang w:val="es-ES"/>
              </w:rPr>
              <w:t>r.l</w:t>
            </w:r>
            <w:proofErr w:type="spellEnd"/>
            <w:r w:rsidRPr="006B558F">
              <w:rPr>
                <w:lang w:val="es-ES"/>
              </w:rPr>
              <w:t>. como emisor (</w:t>
            </w:r>
            <w:proofErr w:type="spellStart"/>
            <w:r w:rsidRPr="006B558F">
              <w:rPr>
                <w:i/>
                <w:iCs/>
                <w:lang w:val="es-ES"/>
              </w:rPr>
              <w:t>Issuer</w:t>
            </w:r>
            <w:proofErr w:type="spellEnd"/>
            <w:r w:rsidRPr="006B558F">
              <w:rPr>
                <w:lang w:val="es-ES"/>
              </w:rPr>
              <w:t>)</w:t>
            </w:r>
            <w:r>
              <w:rPr>
                <w:lang w:val="es-ES"/>
              </w:rPr>
              <w:t xml:space="preserve"> y</w:t>
            </w:r>
            <w:r w:rsidRPr="006B558F">
              <w:rPr>
                <w:lang w:val="es-ES"/>
              </w:rPr>
              <w:t xml:space="preserve"> Beacon Rail Leasing, </w:t>
            </w:r>
            <w:proofErr w:type="spellStart"/>
            <w:r w:rsidRPr="006B558F">
              <w:rPr>
                <w:lang w:val="es-ES"/>
              </w:rPr>
              <w:t>S.à</w:t>
            </w:r>
            <w:proofErr w:type="spellEnd"/>
            <w:r w:rsidRPr="006B558F">
              <w:rPr>
                <w:lang w:val="es-ES"/>
              </w:rPr>
              <w:t xml:space="preserve"> </w:t>
            </w:r>
            <w:proofErr w:type="spellStart"/>
            <w:r w:rsidRPr="006B558F">
              <w:rPr>
                <w:lang w:val="es-ES"/>
              </w:rPr>
              <w:t>r.l</w:t>
            </w:r>
            <w:proofErr w:type="spellEnd"/>
            <w:r w:rsidRPr="006B558F">
              <w:rPr>
                <w:lang w:val="es-ES"/>
              </w:rPr>
              <w:t>. como agente de garantías del grupo (</w:t>
            </w:r>
            <w:r w:rsidRPr="006B558F">
              <w:rPr>
                <w:i/>
                <w:iCs/>
                <w:lang w:val="es-ES"/>
              </w:rPr>
              <w:t xml:space="preserve">Security </w:t>
            </w:r>
            <w:proofErr w:type="spellStart"/>
            <w:r w:rsidRPr="006B558F">
              <w:rPr>
                <w:i/>
                <w:iCs/>
                <w:lang w:val="es-ES"/>
              </w:rPr>
              <w:t>Group</w:t>
            </w:r>
            <w:proofErr w:type="spellEnd"/>
            <w:r w:rsidRPr="006B558F">
              <w:rPr>
                <w:i/>
                <w:iCs/>
                <w:lang w:val="es-ES"/>
              </w:rPr>
              <w:t xml:space="preserve"> </w:t>
            </w:r>
            <w:proofErr w:type="spellStart"/>
            <w:r w:rsidRPr="006B558F">
              <w:rPr>
                <w:i/>
                <w:iCs/>
                <w:lang w:val="es-ES"/>
              </w:rPr>
              <w:t>Agent</w:t>
            </w:r>
            <w:proofErr w:type="spellEnd"/>
            <w:r w:rsidRPr="006B558F">
              <w:rPr>
                <w:lang w:val="es-ES"/>
              </w:rPr>
              <w:t>) y ING como Agente ACF Inicial. En adelante</w:t>
            </w:r>
            <w:r w:rsidRPr="00696B17">
              <w:rPr>
                <w:lang w:val="es-ES"/>
              </w:rPr>
              <w:t xml:space="preserve">, </w:t>
            </w:r>
            <w:r>
              <w:rPr>
                <w:lang w:val="es-ES"/>
              </w:rPr>
              <w:t xml:space="preserve">y sujeto a que ING proceda con la firma de dicha carta como Agente ACF Inicial, </w:t>
            </w:r>
            <w:r w:rsidRPr="0002066B">
              <w:rPr>
                <w:lang w:val="es-ES"/>
              </w:rPr>
              <w:t xml:space="preserve">tras lo cual las </w:t>
            </w:r>
            <w:r>
              <w:rPr>
                <w:lang w:val="es-ES"/>
              </w:rPr>
              <w:t xml:space="preserve">referidas </w:t>
            </w:r>
            <w:r w:rsidRPr="0002066B">
              <w:rPr>
                <w:lang w:val="es-ES"/>
              </w:rPr>
              <w:lastRenderedPageBreak/>
              <w:t xml:space="preserve">modificaciones propuestas </w:t>
            </w:r>
            <w:r>
              <w:rPr>
                <w:lang w:val="es-ES"/>
              </w:rPr>
              <w:t>tendrán</w:t>
            </w:r>
            <w:r w:rsidRPr="0002066B">
              <w:rPr>
                <w:lang w:val="es-ES"/>
              </w:rPr>
              <w:t xml:space="preserve"> efecto inmediato</w:t>
            </w:r>
            <w:r>
              <w:rPr>
                <w:lang w:val="es-ES"/>
              </w:rPr>
              <w:t xml:space="preserve">, </w:t>
            </w:r>
            <w:r w:rsidRPr="00696B17">
              <w:rPr>
                <w:lang w:val="es-ES"/>
              </w:rPr>
              <w:t xml:space="preserve">la </w:t>
            </w:r>
            <w:r w:rsidRPr="00D3169F">
              <w:rPr>
                <w:b/>
                <w:bCs/>
                <w:lang w:val="es-ES"/>
              </w:rPr>
              <w:t>Carta de Novación del ACF</w:t>
            </w:r>
            <w:r w:rsidRPr="00696B17">
              <w:rPr>
                <w:lang w:val="es-ES"/>
              </w:rPr>
              <w:t>.</w:t>
            </w:r>
          </w:p>
        </w:tc>
        <w:tc>
          <w:tcPr>
            <w:tcW w:w="2500" w:type="pct"/>
            <w:shd w:val="clear" w:color="auto" w:fill="auto"/>
          </w:tcPr>
          <w:p w14:paraId="4B6E7282" w14:textId="355B3E08" w:rsidR="000D089E" w:rsidRPr="000D3E9E" w:rsidRDefault="000D089E" w:rsidP="00FA66CE">
            <w:pPr>
              <w:pStyle w:val="AODocTxt"/>
              <w:numPr>
                <w:ilvl w:val="0"/>
                <w:numId w:val="39"/>
              </w:numPr>
              <w:ind w:hanging="720"/>
            </w:pPr>
            <w:r>
              <w:lastRenderedPageBreak/>
              <w:t xml:space="preserve">That, on 12 April 2024, an English law amendment request letter </w:t>
            </w:r>
            <w:r w:rsidRPr="00AF5378">
              <w:t xml:space="preserve">in respect of certain amendments requested by Beacon Finco, </w:t>
            </w:r>
            <w:proofErr w:type="spellStart"/>
            <w:r w:rsidRPr="00AF5378">
              <w:t>S.à</w:t>
            </w:r>
            <w:proofErr w:type="spellEnd"/>
            <w:r w:rsidRPr="00AF5378">
              <w:t xml:space="preserve"> </w:t>
            </w:r>
            <w:proofErr w:type="spellStart"/>
            <w:r w:rsidRPr="00AF5378">
              <w:t>r.l</w:t>
            </w:r>
            <w:proofErr w:type="spellEnd"/>
            <w:r w:rsidRPr="00AF5378">
              <w:t xml:space="preserve">. as Issuer, in connection with the capex facility and WCF facility under </w:t>
            </w:r>
            <w:r w:rsidRPr="006B558F">
              <w:t xml:space="preserve">the Initial Authorised Credit Facilities Agreement, </w:t>
            </w:r>
            <w:r>
              <w:t>was issued</w:t>
            </w:r>
            <w:r w:rsidRPr="006B558F">
              <w:t xml:space="preserve"> by Beacon Finco,</w:t>
            </w:r>
            <w:r w:rsidRPr="00F13035">
              <w:t xml:space="preserve"> </w:t>
            </w:r>
            <w:proofErr w:type="spellStart"/>
            <w:r w:rsidRPr="00F13035">
              <w:t>S.à</w:t>
            </w:r>
            <w:proofErr w:type="spellEnd"/>
            <w:r w:rsidRPr="00F13035">
              <w:t xml:space="preserve"> </w:t>
            </w:r>
            <w:proofErr w:type="spellStart"/>
            <w:r w:rsidRPr="00F13035">
              <w:t>r.l</w:t>
            </w:r>
            <w:proofErr w:type="spellEnd"/>
            <w:r w:rsidRPr="00F13035">
              <w:t>.</w:t>
            </w:r>
            <w:r>
              <w:t xml:space="preserve"> as Issuer and </w:t>
            </w:r>
            <w:r w:rsidRPr="009747AC">
              <w:t xml:space="preserve">Beacon Rail Leasing, </w:t>
            </w:r>
            <w:proofErr w:type="spellStart"/>
            <w:r w:rsidRPr="009747AC">
              <w:t>S.à</w:t>
            </w:r>
            <w:proofErr w:type="spellEnd"/>
            <w:r w:rsidRPr="009747AC">
              <w:t xml:space="preserve"> </w:t>
            </w:r>
            <w:proofErr w:type="spellStart"/>
            <w:r w:rsidRPr="009747AC">
              <w:t>r.l</w:t>
            </w:r>
            <w:proofErr w:type="spellEnd"/>
            <w:r w:rsidRPr="009747AC">
              <w:t>.</w:t>
            </w:r>
            <w:r>
              <w:t xml:space="preserve"> as </w:t>
            </w:r>
            <w:r w:rsidRPr="009747AC">
              <w:t>Security Group Agent</w:t>
            </w:r>
            <w:r>
              <w:t xml:space="preserve"> to ING as Initial ACF Agent</w:t>
            </w:r>
            <w:r w:rsidRPr="00FA66CE">
              <w:t>. Hereinafter</w:t>
            </w:r>
            <w:r w:rsidRPr="0035388E">
              <w:t xml:space="preserve">, </w:t>
            </w:r>
            <w:r w:rsidRPr="0002066B">
              <w:t xml:space="preserve">and subject to the countersignature of ING as Initial ACF Agent whereupon the </w:t>
            </w:r>
            <w:r>
              <w:t xml:space="preserve">referred </w:t>
            </w:r>
            <w:r w:rsidRPr="0002066B">
              <w:t>proposed amendments shall take immediate effect</w:t>
            </w:r>
            <w:r>
              <w:t xml:space="preserve"> </w:t>
            </w:r>
            <w:r w:rsidRPr="000D3E9E">
              <w:t>the</w:t>
            </w:r>
            <w:r w:rsidRPr="00FA66CE">
              <w:t xml:space="preserve"> </w:t>
            </w:r>
            <w:r w:rsidRPr="00FA66CE">
              <w:rPr>
                <w:b/>
                <w:bCs/>
              </w:rPr>
              <w:t>ACF Amendment Request Letter</w:t>
            </w:r>
            <w:r w:rsidRPr="00A60E92">
              <w:t>.</w:t>
            </w:r>
          </w:p>
        </w:tc>
      </w:tr>
      <w:bookmarkEnd w:id="51"/>
      <w:tr w:rsidR="000D089E" w:rsidRPr="00BB5693" w14:paraId="17E2304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8B7B719" w14:textId="3EC6E0A0" w:rsidR="000D089E" w:rsidRPr="00BB5693" w:rsidRDefault="000D089E" w:rsidP="000D089E">
            <w:pPr>
              <w:pStyle w:val="AOA"/>
              <w:rPr>
                <w:lang w:val="es-ES"/>
              </w:rPr>
            </w:pPr>
            <w:r w:rsidRPr="00BB5693">
              <w:rPr>
                <w:lang w:val="es-ES"/>
              </w:rPr>
              <w:t xml:space="preserve">Que, el día </w:t>
            </w:r>
            <w:r w:rsidRPr="00316E16">
              <w:rPr>
                <w:lang w:val="es-ES"/>
              </w:rPr>
              <w:t>[</w:t>
            </w:r>
            <w:r w:rsidRPr="00316E16">
              <w:rPr>
                <w:lang w:val="es-ES"/>
              </w:rPr>
              <w:sym w:font="Wingdings" w:char="F06C"/>
            </w:r>
            <w:r w:rsidRPr="00316E16">
              <w:rPr>
                <w:lang w:val="es-ES"/>
              </w:rPr>
              <w:t>]</w:t>
            </w:r>
            <w:r>
              <w:rPr>
                <w:lang w:val="es-ES"/>
              </w:rPr>
              <w:t xml:space="preserve"> </w:t>
            </w:r>
            <w:r w:rsidRPr="00BB5693">
              <w:rPr>
                <w:lang w:val="es-ES"/>
              </w:rPr>
              <w:t xml:space="preserve">se </w:t>
            </w:r>
            <w:r w:rsidRPr="00316E16">
              <w:rPr>
                <w:lang w:val="es-ES"/>
              </w:rPr>
              <w:t>ha suscrito</w:t>
            </w:r>
            <w:r w:rsidRPr="00BB5693">
              <w:rPr>
                <w:lang w:val="es-ES"/>
              </w:rPr>
              <w:t xml:space="preserve"> un contrato de crédito, por importe de € </w:t>
            </w:r>
            <w:r w:rsidRPr="00316E16">
              <w:rPr>
                <w:lang w:val="es-ES"/>
              </w:rPr>
              <w:t>[</w:t>
            </w:r>
            <w:r w:rsidRPr="00316E16">
              <w:rPr>
                <w:lang w:val="es-ES"/>
              </w:rPr>
              <w:sym w:font="Wingdings" w:char="F06C"/>
            </w:r>
            <w:r w:rsidRPr="00316E16">
              <w:rPr>
                <w:lang w:val="es-ES"/>
              </w:rPr>
              <w:t>]</w:t>
            </w:r>
            <w:r w:rsidRPr="00BB5693">
              <w:rPr>
                <w:lang w:val="es-ES"/>
              </w:rPr>
              <w:t xml:space="preserve"> denominado en inglés “</w:t>
            </w:r>
            <w:proofErr w:type="spellStart"/>
            <w:r w:rsidRPr="009245CE">
              <w:rPr>
                <w:i/>
                <w:iCs/>
                <w:lang w:val="es-ES"/>
              </w:rPr>
              <w:t>Authorised</w:t>
            </w:r>
            <w:proofErr w:type="spellEnd"/>
            <w:r w:rsidRPr="009245CE">
              <w:rPr>
                <w:i/>
                <w:iCs/>
                <w:lang w:val="es-ES"/>
              </w:rPr>
              <w:t xml:space="preserve"> </w:t>
            </w:r>
            <w:proofErr w:type="spellStart"/>
            <w:r w:rsidRPr="009245CE">
              <w:rPr>
                <w:i/>
                <w:iCs/>
                <w:lang w:val="es-ES"/>
              </w:rPr>
              <w:t>Credit</w:t>
            </w:r>
            <w:proofErr w:type="spellEnd"/>
            <w:r w:rsidRPr="009245CE">
              <w:rPr>
                <w:i/>
                <w:iCs/>
                <w:lang w:val="es-ES"/>
              </w:rPr>
              <w:t xml:space="preserve"> Facilities </w:t>
            </w:r>
            <w:proofErr w:type="spellStart"/>
            <w:r w:rsidRPr="009245CE">
              <w:rPr>
                <w:i/>
                <w:iCs/>
                <w:lang w:val="es-ES"/>
              </w:rPr>
              <w:t>Agreement</w:t>
            </w:r>
            <w:proofErr w:type="spellEnd"/>
            <w:r w:rsidRPr="00BB5693">
              <w:rPr>
                <w:lang w:val="es-ES"/>
              </w:rPr>
              <w:t xml:space="preserve">” sujeto a ley inglesa, por, entre otros, Beacon Finco </w:t>
            </w:r>
            <w:proofErr w:type="spellStart"/>
            <w:r w:rsidRPr="00BB5693">
              <w:rPr>
                <w:lang w:val="es-ES"/>
              </w:rPr>
              <w:t>S.à</w:t>
            </w:r>
            <w:proofErr w:type="spellEnd"/>
            <w:r w:rsidRPr="00BB5693">
              <w:rPr>
                <w:lang w:val="es-ES"/>
              </w:rPr>
              <w:t xml:space="preserve"> </w:t>
            </w:r>
            <w:proofErr w:type="spellStart"/>
            <w:r w:rsidRPr="00BB5693">
              <w:rPr>
                <w:lang w:val="es-ES"/>
              </w:rPr>
              <w:t>r.l</w:t>
            </w:r>
            <w:proofErr w:type="spellEnd"/>
            <w:r w:rsidRPr="00BB5693">
              <w:rPr>
                <w:lang w:val="es-ES"/>
              </w:rPr>
              <w:t>. como Emisora (</w:t>
            </w:r>
            <w:proofErr w:type="spellStart"/>
            <w:r w:rsidRPr="0011694A">
              <w:rPr>
                <w:i/>
                <w:iCs/>
                <w:lang w:val="es-ES"/>
              </w:rPr>
              <w:t>Issuer</w:t>
            </w:r>
            <w:proofErr w:type="spellEnd"/>
            <w:r w:rsidRPr="00BB5693">
              <w:rPr>
                <w:lang w:val="es-ES"/>
              </w:rPr>
              <w:t xml:space="preserve">), Beacon Rail Leasing </w:t>
            </w:r>
            <w:proofErr w:type="spellStart"/>
            <w:r w:rsidRPr="00BB5693">
              <w:rPr>
                <w:lang w:val="es-ES"/>
              </w:rPr>
              <w:t>S.à</w:t>
            </w:r>
            <w:proofErr w:type="spellEnd"/>
            <w:r w:rsidRPr="00BB5693">
              <w:rPr>
                <w:lang w:val="es-ES"/>
              </w:rPr>
              <w:t xml:space="preserve"> </w:t>
            </w:r>
            <w:proofErr w:type="spellStart"/>
            <w:r w:rsidRPr="00BB5693">
              <w:rPr>
                <w:lang w:val="es-ES"/>
              </w:rPr>
              <w:t>r.l</w:t>
            </w:r>
            <w:proofErr w:type="spellEnd"/>
            <w:r w:rsidRPr="00BB5693">
              <w:rPr>
                <w:lang w:val="es-ES"/>
              </w:rPr>
              <w:t xml:space="preserve">. como </w:t>
            </w:r>
            <w:r w:rsidR="0011694A">
              <w:rPr>
                <w:lang w:val="es-ES"/>
              </w:rPr>
              <w:t>a</w:t>
            </w:r>
            <w:r w:rsidRPr="00BB5693">
              <w:rPr>
                <w:lang w:val="es-ES"/>
              </w:rPr>
              <w:t xml:space="preserve">gente de </w:t>
            </w:r>
            <w:r w:rsidR="0011694A">
              <w:rPr>
                <w:lang w:val="es-ES"/>
              </w:rPr>
              <w:t>g</w:t>
            </w:r>
            <w:r w:rsidRPr="00BB5693">
              <w:rPr>
                <w:lang w:val="es-ES"/>
              </w:rPr>
              <w:t xml:space="preserve">arantías del </w:t>
            </w:r>
            <w:r w:rsidR="0011694A">
              <w:rPr>
                <w:lang w:val="es-ES"/>
              </w:rPr>
              <w:t>g</w:t>
            </w:r>
            <w:r w:rsidRPr="00BB5693">
              <w:rPr>
                <w:lang w:val="es-ES"/>
              </w:rPr>
              <w:t>rupo (</w:t>
            </w:r>
            <w:r w:rsidRPr="0011694A">
              <w:rPr>
                <w:i/>
                <w:iCs/>
                <w:lang w:val="es-ES"/>
              </w:rPr>
              <w:t xml:space="preserve">Security </w:t>
            </w:r>
            <w:proofErr w:type="spellStart"/>
            <w:r w:rsidRPr="0011694A">
              <w:rPr>
                <w:i/>
                <w:iCs/>
                <w:lang w:val="es-ES"/>
              </w:rPr>
              <w:t>Group</w:t>
            </w:r>
            <w:proofErr w:type="spellEnd"/>
            <w:r w:rsidRPr="0011694A">
              <w:rPr>
                <w:i/>
                <w:iCs/>
                <w:lang w:val="es-ES"/>
              </w:rPr>
              <w:t xml:space="preserve"> </w:t>
            </w:r>
            <w:proofErr w:type="spellStart"/>
            <w:r w:rsidRPr="0011694A">
              <w:rPr>
                <w:i/>
                <w:iCs/>
                <w:lang w:val="es-ES"/>
              </w:rPr>
              <w:t>Agent</w:t>
            </w:r>
            <w:proofErr w:type="spellEnd"/>
            <w:r w:rsidRPr="00BB5693">
              <w:rPr>
                <w:lang w:val="es-ES"/>
              </w:rPr>
              <w:t xml:space="preserve">), </w:t>
            </w:r>
            <w:r w:rsidR="0011694A">
              <w:rPr>
                <w:lang w:val="es-ES"/>
              </w:rPr>
              <w:t>las Entidades Financiadoras ACF 2025</w:t>
            </w:r>
            <w:r w:rsidRPr="00BB5693">
              <w:rPr>
                <w:lang w:val="es-ES"/>
              </w:rPr>
              <w:t xml:space="preserve"> e ING Bank, N.V como </w:t>
            </w:r>
            <w:r w:rsidRPr="00316E16">
              <w:rPr>
                <w:lang w:val="es-ES"/>
              </w:rPr>
              <w:t>Agente ACF 202</w:t>
            </w:r>
            <w:r w:rsidRPr="00BB5693">
              <w:rPr>
                <w:lang w:val="es-ES"/>
              </w:rPr>
              <w:t>5 (</w:t>
            </w:r>
            <w:r w:rsidR="00572C3C">
              <w:rPr>
                <w:i/>
                <w:iCs/>
                <w:lang w:val="es-ES"/>
              </w:rPr>
              <w:t>ACF</w:t>
            </w:r>
            <w:r w:rsidR="00572C3C" w:rsidRPr="00BB5693">
              <w:rPr>
                <w:i/>
                <w:iCs/>
                <w:lang w:val="es-ES"/>
              </w:rPr>
              <w:t xml:space="preserve"> </w:t>
            </w:r>
            <w:proofErr w:type="spellStart"/>
            <w:r w:rsidRPr="00BB5693">
              <w:rPr>
                <w:i/>
                <w:iCs/>
                <w:lang w:val="es-ES"/>
              </w:rPr>
              <w:t>Agent</w:t>
            </w:r>
            <w:proofErr w:type="spellEnd"/>
            <w:r w:rsidRPr="00BB5693">
              <w:rPr>
                <w:lang w:val="es-ES"/>
              </w:rPr>
              <w:t>) en relación con un contrato de préstamo a plazo</w:t>
            </w:r>
            <w:r>
              <w:rPr>
                <w:lang w:val="es-ES"/>
              </w:rPr>
              <w:t xml:space="preserve">, </w:t>
            </w:r>
            <w:proofErr w:type="spellStart"/>
            <w:r>
              <w:rPr>
                <w:i/>
                <w:iCs/>
                <w:lang w:val="es-ES"/>
              </w:rPr>
              <w:t>revolving</w:t>
            </w:r>
            <w:proofErr w:type="spellEnd"/>
            <w:r w:rsidRPr="00BB5693">
              <w:rPr>
                <w:lang w:val="es-ES"/>
              </w:rPr>
              <w:t xml:space="preserve"> y </w:t>
            </w:r>
            <w:proofErr w:type="spellStart"/>
            <w:r w:rsidRPr="00BB5693">
              <w:rPr>
                <w:i/>
                <w:iCs/>
                <w:lang w:val="es-ES"/>
              </w:rPr>
              <w:t>capex</w:t>
            </w:r>
            <w:proofErr w:type="spellEnd"/>
            <w:r w:rsidRPr="00BB5693">
              <w:rPr>
                <w:lang w:val="es-ES"/>
              </w:rPr>
              <w:t xml:space="preserve">. En adelante, el </w:t>
            </w:r>
            <w:r w:rsidRPr="00316E16">
              <w:rPr>
                <w:lang w:val="es-ES"/>
              </w:rPr>
              <w:t>contrato de crédito autorizado</w:t>
            </w:r>
            <w:r w:rsidRPr="00BB5693">
              <w:rPr>
                <w:lang w:val="es-ES"/>
              </w:rPr>
              <w:t>, tal y como el mismo sea modificado, extendido, ratificado y/o complementado en cada momento, será referido como</w:t>
            </w:r>
            <w:r w:rsidRPr="00316E16">
              <w:rPr>
                <w:lang w:val="es-ES"/>
              </w:rPr>
              <w:t xml:space="preserve"> </w:t>
            </w:r>
            <w:r w:rsidRPr="00BB5693">
              <w:rPr>
                <w:b/>
                <w:bCs/>
                <w:lang w:val="es-ES"/>
              </w:rPr>
              <w:t>Contrato de Crédito Autorizado 202</w:t>
            </w:r>
            <w:r w:rsidRPr="00316E16">
              <w:rPr>
                <w:b/>
                <w:bCs/>
                <w:lang w:val="es-ES"/>
              </w:rPr>
              <w:t>5</w:t>
            </w:r>
            <w:r w:rsidRPr="00BB5693">
              <w:rPr>
                <w:lang w:val="es-ES"/>
              </w:rPr>
              <w:t>.</w:t>
            </w:r>
          </w:p>
        </w:tc>
        <w:tc>
          <w:tcPr>
            <w:tcW w:w="2500" w:type="pct"/>
            <w:shd w:val="clear" w:color="auto" w:fill="auto"/>
          </w:tcPr>
          <w:p w14:paraId="7AF804EF" w14:textId="19E684A4" w:rsidR="000D089E" w:rsidRPr="00BB5693" w:rsidRDefault="000D089E" w:rsidP="00FA66CE">
            <w:pPr>
              <w:pStyle w:val="AODocTxt"/>
              <w:numPr>
                <w:ilvl w:val="0"/>
                <w:numId w:val="39"/>
              </w:numPr>
              <w:ind w:hanging="720"/>
            </w:pPr>
            <w:r w:rsidRPr="000D3E9E">
              <w:t xml:space="preserve">That, on </w:t>
            </w:r>
            <w:r>
              <w:t>[</w:t>
            </w:r>
            <w:r>
              <w:sym w:font="Wingdings" w:char="F06C"/>
            </w:r>
            <w:r>
              <w:t>] 2025</w:t>
            </w:r>
            <w:r w:rsidRPr="000D3E9E">
              <w:t>, an English law</w:t>
            </w:r>
            <w:r>
              <w:t xml:space="preserve"> E</w:t>
            </w:r>
            <w:r w:rsidRPr="00FF6A9F">
              <w:t xml:space="preserve">UR </w:t>
            </w:r>
            <w:r>
              <w:t>[</w:t>
            </w:r>
            <w:r>
              <w:sym w:font="Wingdings" w:char="F06C"/>
            </w:r>
            <w:r>
              <w:t>]</w:t>
            </w:r>
            <w:r w:rsidRPr="00FF6A9F">
              <w:t xml:space="preserve"> authorised credit facilities agreement dated </w:t>
            </w:r>
            <w:r>
              <w:t>has been entered into</w:t>
            </w:r>
            <w:r w:rsidRPr="00FF6A9F">
              <w:t xml:space="preserve"> between, among others, Beacon Finco </w:t>
            </w:r>
            <w:proofErr w:type="spellStart"/>
            <w:r w:rsidRPr="00FF6A9F">
              <w:t>S.à</w:t>
            </w:r>
            <w:proofErr w:type="spellEnd"/>
            <w:r w:rsidRPr="00FF6A9F">
              <w:t xml:space="preserve"> </w:t>
            </w:r>
            <w:proofErr w:type="spellStart"/>
            <w:r w:rsidRPr="00FF6A9F">
              <w:t>r.l</w:t>
            </w:r>
            <w:proofErr w:type="spellEnd"/>
            <w:r w:rsidRPr="00FF6A9F">
              <w:t xml:space="preserve">. as issuer, Beacon Rail Leasing </w:t>
            </w:r>
            <w:proofErr w:type="spellStart"/>
            <w:r w:rsidRPr="00FF6A9F">
              <w:t>S.à</w:t>
            </w:r>
            <w:proofErr w:type="spellEnd"/>
            <w:r w:rsidRPr="00FF6A9F">
              <w:t xml:space="preserve"> </w:t>
            </w:r>
            <w:proofErr w:type="spellStart"/>
            <w:r w:rsidRPr="00FF6A9F">
              <w:t>r.l</w:t>
            </w:r>
            <w:proofErr w:type="spellEnd"/>
            <w:r w:rsidRPr="00FF6A9F">
              <w:t xml:space="preserve">. as </w:t>
            </w:r>
            <w:r w:rsidRPr="00C83F9F">
              <w:t xml:space="preserve">security group agent, </w:t>
            </w:r>
            <w:r w:rsidR="00ED50FC">
              <w:t xml:space="preserve">ACF Lenders 2025 </w:t>
            </w:r>
            <w:r w:rsidRPr="00C83F9F">
              <w:t xml:space="preserve">and </w:t>
            </w:r>
            <w:r w:rsidRPr="00316E16">
              <w:t xml:space="preserve">ING Bank, N.V </w:t>
            </w:r>
            <w:r w:rsidRPr="00C83F9F">
              <w:t xml:space="preserve">as </w:t>
            </w:r>
            <w:r w:rsidR="00572C3C">
              <w:t>ACF</w:t>
            </w:r>
            <w:r w:rsidR="00572C3C" w:rsidRPr="00C83F9F">
              <w:t xml:space="preserve"> </w:t>
            </w:r>
            <w:r w:rsidRPr="00C83F9F">
              <w:t>agent</w:t>
            </w:r>
            <w:r w:rsidRPr="00FF6A9F">
              <w:t xml:space="preserve"> regarding certain term</w:t>
            </w:r>
            <w:r>
              <w:t xml:space="preserve">, revolving </w:t>
            </w:r>
            <w:r w:rsidRPr="00FF6A9F">
              <w:t>and capex facilities</w:t>
            </w:r>
            <w:r>
              <w:t>.</w:t>
            </w:r>
            <w:r w:rsidRPr="0035388E">
              <w:t xml:space="preserve"> Hereinafter, the </w:t>
            </w:r>
            <w:r w:rsidRPr="00FF6A9F">
              <w:t>authorised credit facilities</w:t>
            </w:r>
            <w:r w:rsidRPr="0035388E">
              <w:t xml:space="preserve"> agreement</w:t>
            </w:r>
            <w:r w:rsidRPr="000D3E9E">
              <w:t>, as it may be amended, extended, ratified and/or supplemented from time to time, shall be referred to as the</w:t>
            </w:r>
            <w:r w:rsidRPr="00FA66CE">
              <w:t xml:space="preserve"> </w:t>
            </w:r>
            <w:r w:rsidRPr="00FA66CE">
              <w:rPr>
                <w:b/>
                <w:bCs/>
              </w:rPr>
              <w:t>2025 Authorised Credit Facilities Agreement</w:t>
            </w:r>
            <w:r w:rsidRPr="00FA66CE">
              <w:t>.</w:t>
            </w:r>
          </w:p>
        </w:tc>
      </w:tr>
      <w:tr w:rsidR="000D089E" w:rsidRPr="00BF2CC1" w14:paraId="31C4650B"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4D2D3447" w14:textId="4BC9BB58" w:rsidR="000D089E" w:rsidRPr="000D3E9E" w:rsidRDefault="000D089E" w:rsidP="000D089E">
            <w:pPr>
              <w:pStyle w:val="AODocTxtL1"/>
              <w:rPr>
                <w:lang w:val="es-ES"/>
              </w:rPr>
            </w:pPr>
            <w:r w:rsidRPr="000D3E9E">
              <w:rPr>
                <w:lang w:val="es-ES"/>
              </w:rPr>
              <w:t xml:space="preserve">El </w:t>
            </w:r>
            <w:r w:rsidRPr="00BD1587">
              <w:rPr>
                <w:lang w:val="es-ES"/>
              </w:rPr>
              <w:t>Contrato de Crédito Autorizado 202</w:t>
            </w:r>
            <w:r>
              <w:rPr>
                <w:lang w:val="es-ES"/>
              </w:rPr>
              <w:t>5</w:t>
            </w:r>
            <w:r>
              <w:rPr>
                <w:b/>
                <w:bCs/>
                <w:lang w:val="es-ES"/>
              </w:rPr>
              <w:t xml:space="preserve"> </w:t>
            </w:r>
            <w:r>
              <w:rPr>
                <w:lang w:val="es-ES"/>
              </w:rPr>
              <w:t>ha sido</w:t>
            </w:r>
            <w:r w:rsidRPr="000D3E9E">
              <w:rPr>
                <w:lang w:val="es-ES"/>
              </w:rPr>
              <w:t xml:space="preserve"> elevado a público </w:t>
            </w:r>
            <w:r>
              <w:rPr>
                <w:lang w:val="es-ES"/>
              </w:rPr>
              <w:t xml:space="preserve">parcialmente </w:t>
            </w:r>
            <w:r w:rsidRPr="000D3E9E">
              <w:rPr>
                <w:lang w:val="es-ES"/>
              </w:rPr>
              <w:t xml:space="preserve">en esta misma fecha en virtud de póliza intervenida por </w:t>
            </w:r>
            <w:r w:rsidR="00FD3228">
              <w:rPr>
                <w:lang w:val="es-ES"/>
              </w:rPr>
              <w:t>la</w:t>
            </w:r>
            <w:r w:rsidRPr="000D3E9E">
              <w:rPr>
                <w:lang w:val="es-ES"/>
              </w:rPr>
              <w:t xml:space="preserve"> </w:t>
            </w:r>
            <w:r w:rsidRPr="00E53971">
              <w:rPr>
                <w:lang w:val="es-ES"/>
              </w:rPr>
              <w:t xml:space="preserve">Notario </w:t>
            </w:r>
            <w:r>
              <w:rPr>
                <w:lang w:val="es-ES"/>
              </w:rPr>
              <w:t>de Barcelona, Dña. Blanca Pardo García.</w:t>
            </w:r>
          </w:p>
        </w:tc>
        <w:tc>
          <w:tcPr>
            <w:tcW w:w="2500" w:type="pct"/>
            <w:shd w:val="clear" w:color="auto" w:fill="auto"/>
          </w:tcPr>
          <w:p w14:paraId="5A3B58A4" w14:textId="0AD88770" w:rsidR="000D089E" w:rsidRPr="00666671" w:rsidRDefault="000D089E" w:rsidP="000D089E">
            <w:pPr>
              <w:pStyle w:val="AODocTxtL1"/>
            </w:pPr>
            <w:r w:rsidRPr="000D3E9E">
              <w:t xml:space="preserve">The </w:t>
            </w:r>
            <w:r w:rsidRPr="00BD1587">
              <w:rPr>
                <w:lang w:eastAsia="es-ES"/>
              </w:rPr>
              <w:t>202</w:t>
            </w:r>
            <w:r>
              <w:rPr>
                <w:lang w:eastAsia="es-ES"/>
              </w:rPr>
              <w:t>5</w:t>
            </w:r>
            <w:r w:rsidRPr="00BD1587">
              <w:rPr>
                <w:lang w:eastAsia="es-ES"/>
              </w:rPr>
              <w:t xml:space="preserve"> </w:t>
            </w:r>
            <w:r w:rsidRPr="00BD1587">
              <w:t>Authorised Credit Facilities</w:t>
            </w:r>
            <w:r w:rsidRPr="00BD1587">
              <w:rPr>
                <w:lang w:eastAsia="en-GB" w:bidi="en-GB"/>
              </w:rPr>
              <w:t xml:space="preserve"> Agreement</w:t>
            </w:r>
            <w:r w:rsidRPr="00BD1587">
              <w:t xml:space="preserve"> </w:t>
            </w:r>
            <w:r>
              <w:t>has</w:t>
            </w:r>
            <w:r w:rsidRPr="000D3E9E">
              <w:t xml:space="preserve"> </w:t>
            </w:r>
            <w:r>
              <w:t xml:space="preserve">partially been </w:t>
            </w:r>
            <w:r w:rsidRPr="000D3E9E">
              <w:t xml:space="preserve">raised to the status of public document on such same date by means of a deed intervened by the </w:t>
            </w:r>
            <w:r>
              <w:t xml:space="preserve">Notary of Barcelona Ms. Blanca Pardo García. </w:t>
            </w:r>
          </w:p>
        </w:tc>
      </w:tr>
      <w:tr w:rsidR="000D089E" w:rsidRPr="00BF2CC1" w14:paraId="402DE69A"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3EC8290B" w14:textId="3B7B355C" w:rsidR="000D089E" w:rsidRPr="003D631E" w:rsidRDefault="000D089E" w:rsidP="000D089E">
            <w:pPr>
              <w:pStyle w:val="AOA"/>
              <w:rPr>
                <w:lang w:val="es-ES"/>
              </w:rPr>
            </w:pPr>
            <w:r w:rsidRPr="003D631E">
              <w:rPr>
                <w:lang w:val="es-ES"/>
              </w:rPr>
              <w:t xml:space="preserve">Que con fecha </w:t>
            </w:r>
            <w:r w:rsidRPr="00316E16">
              <w:rPr>
                <w:lang w:val="es-ES"/>
              </w:rPr>
              <w:t>[</w:t>
            </w:r>
            <w:r w:rsidRPr="00316E16">
              <w:rPr>
                <w:lang w:val="es-ES"/>
              </w:rPr>
              <w:sym w:font="Wingdings" w:char="F06C"/>
            </w:r>
            <w:r w:rsidRPr="00316E16">
              <w:rPr>
                <w:lang w:val="es-ES"/>
              </w:rPr>
              <w:t>]</w:t>
            </w:r>
            <w:r w:rsidRPr="003D631E">
              <w:rPr>
                <w:lang w:val="es-ES"/>
              </w:rPr>
              <w:t xml:space="preserve"> </w:t>
            </w:r>
            <w:r w:rsidRPr="00316E16">
              <w:rPr>
                <w:lang w:val="es-ES"/>
              </w:rPr>
              <w:t xml:space="preserve">de 2025 </w:t>
            </w:r>
            <w:r w:rsidRPr="003D631E">
              <w:rPr>
                <w:lang w:val="es-ES"/>
              </w:rPr>
              <w:t xml:space="preserve">se </w:t>
            </w:r>
            <w:r w:rsidRPr="00316E16">
              <w:rPr>
                <w:lang w:val="es-ES"/>
              </w:rPr>
              <w:t>ha suscrito</w:t>
            </w:r>
            <w:r w:rsidRPr="003D631E">
              <w:rPr>
                <w:lang w:val="es-ES"/>
              </w:rPr>
              <w:t xml:space="preserve"> un </w:t>
            </w:r>
            <w:r w:rsidRPr="00316E16">
              <w:rPr>
                <w:lang w:val="es-ES"/>
              </w:rPr>
              <w:t>contrato de compra de instrumentos de deuda PP (</w:t>
            </w:r>
            <w:r w:rsidRPr="003D631E">
              <w:rPr>
                <w:i/>
                <w:iCs/>
                <w:lang w:val="es-ES"/>
              </w:rPr>
              <w:t xml:space="preserve">PP Debt Note </w:t>
            </w:r>
            <w:proofErr w:type="spellStart"/>
            <w:r w:rsidRPr="003D631E">
              <w:rPr>
                <w:i/>
                <w:iCs/>
                <w:lang w:val="es-ES"/>
              </w:rPr>
              <w:t>Purchase</w:t>
            </w:r>
            <w:proofErr w:type="spellEnd"/>
            <w:r w:rsidRPr="003D631E">
              <w:rPr>
                <w:i/>
                <w:iCs/>
                <w:lang w:val="es-ES"/>
              </w:rPr>
              <w:t xml:space="preserve"> </w:t>
            </w:r>
            <w:proofErr w:type="spellStart"/>
            <w:r w:rsidRPr="003D631E">
              <w:rPr>
                <w:i/>
                <w:iCs/>
                <w:lang w:val="es-ES"/>
              </w:rPr>
              <w:t>Agreement</w:t>
            </w:r>
            <w:proofErr w:type="spellEnd"/>
            <w:r w:rsidRPr="003D631E">
              <w:rPr>
                <w:lang w:val="es-ES"/>
              </w:rPr>
              <w:t xml:space="preserve">), sujeto a ley inglesa, por, entre otros, Beacon Finco </w:t>
            </w:r>
            <w:proofErr w:type="spellStart"/>
            <w:r w:rsidRPr="003D631E">
              <w:rPr>
                <w:lang w:val="es-ES"/>
              </w:rPr>
              <w:t>S.à</w:t>
            </w:r>
            <w:proofErr w:type="spellEnd"/>
            <w:r w:rsidRPr="003D631E">
              <w:rPr>
                <w:lang w:val="es-ES"/>
              </w:rPr>
              <w:t xml:space="preserve"> </w:t>
            </w:r>
            <w:proofErr w:type="spellStart"/>
            <w:r w:rsidRPr="003D631E">
              <w:rPr>
                <w:lang w:val="es-ES"/>
              </w:rPr>
              <w:t>r.l</w:t>
            </w:r>
            <w:proofErr w:type="spellEnd"/>
            <w:r w:rsidRPr="003D631E">
              <w:rPr>
                <w:lang w:val="es-ES"/>
              </w:rPr>
              <w:t>.</w:t>
            </w:r>
            <w:r w:rsidRPr="00316E16">
              <w:rPr>
                <w:lang w:val="es-ES"/>
              </w:rPr>
              <w:t xml:space="preserve"> </w:t>
            </w:r>
            <w:r w:rsidRPr="003D631E">
              <w:rPr>
                <w:lang w:val="es-ES"/>
              </w:rPr>
              <w:t>como emisor (</w:t>
            </w:r>
            <w:proofErr w:type="spellStart"/>
            <w:r w:rsidRPr="003D631E">
              <w:rPr>
                <w:i/>
                <w:iCs/>
                <w:lang w:val="es-ES"/>
              </w:rPr>
              <w:t>Issuer</w:t>
            </w:r>
            <w:proofErr w:type="spellEnd"/>
            <w:r w:rsidRPr="003D631E">
              <w:rPr>
                <w:lang w:val="es-ES"/>
              </w:rPr>
              <w:t xml:space="preserve">) y las </w:t>
            </w:r>
            <w:r w:rsidR="00CB49A8">
              <w:rPr>
                <w:lang w:val="es-ES"/>
              </w:rPr>
              <w:t>Nuevas Compradoras de Bonos 2025</w:t>
            </w:r>
            <w:r w:rsidRPr="003D631E">
              <w:rPr>
                <w:lang w:val="es-ES"/>
              </w:rPr>
              <w:t xml:space="preserve">, </w:t>
            </w:r>
            <w:r w:rsidR="00572C3C">
              <w:rPr>
                <w:lang w:val="es-ES"/>
              </w:rPr>
              <w:t xml:space="preserve">listadas </w:t>
            </w:r>
            <w:r w:rsidRPr="00316E16">
              <w:rPr>
                <w:lang w:val="es-ES"/>
              </w:rPr>
              <w:t xml:space="preserve">en el mismo, </w:t>
            </w:r>
            <w:r w:rsidR="00572C3C">
              <w:rPr>
                <w:lang w:val="es-ES"/>
              </w:rPr>
              <w:t>como compradoras (</w:t>
            </w:r>
            <w:proofErr w:type="spellStart"/>
            <w:r w:rsidR="00572C3C" w:rsidRPr="00572C3C">
              <w:rPr>
                <w:i/>
                <w:iCs/>
                <w:lang w:val="es-ES"/>
              </w:rPr>
              <w:t>Purchasers</w:t>
            </w:r>
            <w:proofErr w:type="spellEnd"/>
            <w:r w:rsidR="00572C3C">
              <w:rPr>
                <w:lang w:val="es-ES"/>
              </w:rPr>
              <w:t xml:space="preserve">), </w:t>
            </w:r>
            <w:r w:rsidRPr="00572C3C">
              <w:rPr>
                <w:lang w:val="es-ES"/>
              </w:rPr>
              <w:t>en</w:t>
            </w:r>
            <w:r w:rsidRPr="00316E16">
              <w:rPr>
                <w:lang w:val="es-ES"/>
              </w:rPr>
              <w:t xml:space="preserve"> virtud del cual se acordó la emisión de ciertos instrumentos de deuda. En adelante, el contrato de compra de instrumentos de deuda PP, junto con cualesquiera documentos que se hubiesen suscrito al amparo </w:t>
            </w:r>
            <w:proofErr w:type="gramStart"/>
            <w:r w:rsidRPr="00316E16">
              <w:rPr>
                <w:lang w:val="es-ES"/>
              </w:rPr>
              <w:t>del mismo</w:t>
            </w:r>
            <w:proofErr w:type="gramEnd"/>
            <w:r w:rsidRPr="00316E16">
              <w:rPr>
                <w:lang w:val="es-ES"/>
              </w:rPr>
              <w:t xml:space="preserve">, tal y como este sea novado, modificado, refundido, extendido, ratificado y/o complementado en cada momento y, en particular, tal y como el mismo fue modificado en fecha 24 de junio de 2019, será referido como </w:t>
            </w:r>
            <w:r w:rsidRPr="00316E16">
              <w:rPr>
                <w:b/>
                <w:bCs/>
                <w:lang w:val="es-ES"/>
              </w:rPr>
              <w:t>el Contrato de</w:t>
            </w:r>
            <w:r w:rsidRPr="00316E16">
              <w:rPr>
                <w:lang w:val="es-ES"/>
              </w:rPr>
              <w:t xml:space="preserve"> </w:t>
            </w:r>
            <w:r w:rsidRPr="00316E16">
              <w:rPr>
                <w:b/>
                <w:bCs/>
                <w:lang w:val="es-ES"/>
              </w:rPr>
              <w:t>Compra de Instrumentos de Deuda PP 2025</w:t>
            </w:r>
            <w:r w:rsidR="00BE3D25">
              <w:rPr>
                <w:lang w:val="es-ES"/>
              </w:rPr>
              <w:t>.</w:t>
            </w:r>
          </w:p>
        </w:tc>
        <w:tc>
          <w:tcPr>
            <w:tcW w:w="2500" w:type="pct"/>
            <w:shd w:val="clear" w:color="auto" w:fill="auto"/>
          </w:tcPr>
          <w:p w14:paraId="1FDB6E94" w14:textId="2FD07748" w:rsidR="000D089E" w:rsidRPr="005302CC" w:rsidRDefault="000D089E" w:rsidP="005302CC">
            <w:pPr>
              <w:pStyle w:val="AODocTxt"/>
              <w:numPr>
                <w:ilvl w:val="0"/>
                <w:numId w:val="39"/>
              </w:numPr>
              <w:ind w:hanging="720"/>
              <w:rPr>
                <w:color w:val="000000" w:themeColor="text1"/>
              </w:rPr>
            </w:pPr>
            <w:r w:rsidRPr="005302CC">
              <w:rPr>
                <w:color w:val="000000" w:themeColor="text1"/>
              </w:rPr>
              <w:t>That, on [</w:t>
            </w:r>
            <w:r w:rsidRPr="005302CC">
              <w:rPr>
                <w:color w:val="000000" w:themeColor="text1"/>
              </w:rPr>
              <w:sym w:font="Wingdings" w:char="F06C"/>
            </w:r>
            <w:r w:rsidRPr="005302CC">
              <w:rPr>
                <w:color w:val="000000" w:themeColor="text1"/>
              </w:rPr>
              <w:t xml:space="preserve">] 2025, an English law PP debt note purchase agreement has been entered into between, among others, Beacon Finco </w:t>
            </w:r>
            <w:proofErr w:type="spellStart"/>
            <w:r w:rsidRPr="005302CC">
              <w:rPr>
                <w:color w:val="000000" w:themeColor="text1"/>
              </w:rPr>
              <w:t>S.à</w:t>
            </w:r>
            <w:proofErr w:type="spellEnd"/>
            <w:r w:rsidRPr="005302CC">
              <w:rPr>
                <w:color w:val="000000" w:themeColor="text1"/>
              </w:rPr>
              <w:t xml:space="preserve"> </w:t>
            </w:r>
            <w:proofErr w:type="spellStart"/>
            <w:r w:rsidRPr="005302CC">
              <w:rPr>
                <w:color w:val="000000" w:themeColor="text1"/>
              </w:rPr>
              <w:t>r.l</w:t>
            </w:r>
            <w:proofErr w:type="spellEnd"/>
            <w:r w:rsidRPr="005302CC">
              <w:rPr>
                <w:color w:val="000000" w:themeColor="text1"/>
              </w:rPr>
              <w:t xml:space="preserve">. as the </w:t>
            </w:r>
            <w:r w:rsidR="00572C3C">
              <w:rPr>
                <w:color w:val="000000" w:themeColor="text1"/>
              </w:rPr>
              <w:t>i</w:t>
            </w:r>
            <w:r w:rsidR="00572C3C" w:rsidRPr="005302CC">
              <w:rPr>
                <w:color w:val="000000" w:themeColor="text1"/>
              </w:rPr>
              <w:t xml:space="preserve">ssuer </w:t>
            </w:r>
            <w:r w:rsidRPr="005302CC">
              <w:rPr>
                <w:color w:val="000000" w:themeColor="text1"/>
              </w:rPr>
              <w:t xml:space="preserve">and the </w:t>
            </w:r>
            <w:r w:rsidR="00CB49A8">
              <w:rPr>
                <w:color w:val="000000" w:themeColor="text1"/>
              </w:rPr>
              <w:t xml:space="preserve">New Note </w:t>
            </w:r>
            <w:r w:rsidRPr="005302CC">
              <w:rPr>
                <w:color w:val="000000" w:themeColor="text1"/>
              </w:rPr>
              <w:t>Purchasers</w:t>
            </w:r>
            <w:r w:rsidR="00CB49A8">
              <w:rPr>
                <w:color w:val="000000" w:themeColor="text1"/>
              </w:rPr>
              <w:t xml:space="preserve"> 2025</w:t>
            </w:r>
            <w:r w:rsidR="00572C3C">
              <w:rPr>
                <w:color w:val="000000" w:themeColor="text1"/>
              </w:rPr>
              <w:t xml:space="preserve"> as purchasers</w:t>
            </w:r>
            <w:r w:rsidRPr="005302CC">
              <w:rPr>
                <w:color w:val="000000" w:themeColor="text1"/>
              </w:rPr>
              <w:t xml:space="preserve">, by means of which it was agreed the issue of certain notes. Hereinafter, the PP debt note purchase agreement, together with any other documents granted under and pursuant to it, as it may be amended, restated, extended, ratified and/or supplemented from time to time, shall be referred to as the </w:t>
            </w:r>
            <w:r w:rsidRPr="005302CC">
              <w:rPr>
                <w:b/>
                <w:bCs/>
                <w:color w:val="000000" w:themeColor="text1"/>
              </w:rPr>
              <w:t>2025 PP Debt Note Purchase Agreement</w:t>
            </w:r>
            <w:r w:rsidR="00BE3D25">
              <w:rPr>
                <w:color w:val="000000" w:themeColor="text1"/>
              </w:rPr>
              <w:t>.</w:t>
            </w:r>
          </w:p>
        </w:tc>
      </w:tr>
      <w:tr w:rsidR="000D089E" w:rsidRPr="00BF2CC1" w14:paraId="5B711960"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3BF47CAF" w14:textId="344FC887" w:rsidR="000D089E" w:rsidRPr="000D3E9E" w:rsidRDefault="000D089E" w:rsidP="000D089E">
            <w:pPr>
              <w:pStyle w:val="AODocTxtL1"/>
              <w:rPr>
                <w:lang w:val="es-ES"/>
              </w:rPr>
            </w:pPr>
            <w:r w:rsidRPr="00E53971">
              <w:rPr>
                <w:lang w:val="es-ES"/>
              </w:rPr>
              <w:t xml:space="preserve">El </w:t>
            </w:r>
            <w:r w:rsidRPr="00B87EFD">
              <w:rPr>
                <w:lang w:val="es-ES"/>
              </w:rPr>
              <w:t>Contrato de Compra de Instrumentos de Deuda</w:t>
            </w:r>
            <w:r w:rsidRPr="00B87EFD">
              <w:rPr>
                <w:i/>
                <w:lang w:val="es-ES"/>
              </w:rPr>
              <w:t xml:space="preserve"> </w:t>
            </w:r>
            <w:r w:rsidRPr="00B87EFD">
              <w:rPr>
                <w:lang w:val="es-ES"/>
              </w:rPr>
              <w:t>PP</w:t>
            </w:r>
            <w:r w:rsidRPr="00E53971">
              <w:rPr>
                <w:lang w:val="es-ES"/>
              </w:rPr>
              <w:t xml:space="preserve"> </w:t>
            </w:r>
            <w:r>
              <w:rPr>
                <w:lang w:val="es-ES"/>
              </w:rPr>
              <w:t>ha sido elevado a público el [</w:t>
            </w:r>
            <w:r>
              <w:rPr>
                <w:lang w:val="es-ES"/>
              </w:rPr>
              <w:sym w:font="Wingdings" w:char="F06C"/>
            </w:r>
            <w:r>
              <w:rPr>
                <w:lang w:val="es-ES"/>
              </w:rPr>
              <w:t xml:space="preserve">] de 2025 </w:t>
            </w:r>
            <w:r w:rsidRPr="00E53971">
              <w:rPr>
                <w:lang w:val="es-ES"/>
              </w:rPr>
              <w:t xml:space="preserve">en virtud de </w:t>
            </w:r>
            <w:r>
              <w:rPr>
                <w:lang w:val="es-ES"/>
              </w:rPr>
              <w:t>póliza intervenida</w:t>
            </w:r>
            <w:r w:rsidRPr="00973006">
              <w:rPr>
                <w:lang w:val="es-ES"/>
              </w:rPr>
              <w:t xml:space="preserve"> </w:t>
            </w:r>
            <w:r w:rsidRPr="00E53971">
              <w:rPr>
                <w:lang w:val="es-ES"/>
              </w:rPr>
              <w:t xml:space="preserve">por </w:t>
            </w:r>
            <w:r w:rsidR="00FD3228">
              <w:rPr>
                <w:lang w:val="es-ES"/>
              </w:rPr>
              <w:t>la</w:t>
            </w:r>
            <w:r w:rsidRPr="00E53971">
              <w:rPr>
                <w:lang w:val="es-ES"/>
              </w:rPr>
              <w:t xml:space="preserve"> Notario </w:t>
            </w:r>
            <w:r>
              <w:rPr>
                <w:lang w:val="es-ES"/>
              </w:rPr>
              <w:t>de Madrid, Dña. Blanca Pardo García.</w:t>
            </w:r>
          </w:p>
        </w:tc>
        <w:tc>
          <w:tcPr>
            <w:tcW w:w="2500" w:type="pct"/>
            <w:shd w:val="clear" w:color="auto" w:fill="auto"/>
          </w:tcPr>
          <w:p w14:paraId="2D601E24" w14:textId="6AE2CEC4" w:rsidR="000D089E" w:rsidRPr="000D3E9E" w:rsidRDefault="000D089E" w:rsidP="000D089E">
            <w:pPr>
              <w:pStyle w:val="AODocTxtL1"/>
            </w:pPr>
            <w:r>
              <w:t xml:space="preserve">The </w:t>
            </w:r>
            <w:r w:rsidRPr="00B87EFD">
              <w:t>PP Debt Note Purchase Agreement</w:t>
            </w:r>
            <w:r w:rsidRPr="00901F23">
              <w:t xml:space="preserve"> </w:t>
            </w:r>
            <w:r>
              <w:t>was</w:t>
            </w:r>
            <w:r w:rsidRPr="00901F23">
              <w:t xml:space="preserve"> raised to the status of public document</w:t>
            </w:r>
            <w:r>
              <w:t xml:space="preserve"> on [</w:t>
            </w:r>
            <w:r>
              <w:sym w:font="Wingdings" w:char="F06C"/>
            </w:r>
            <w:r>
              <w:t>] 2025</w:t>
            </w:r>
            <w:r w:rsidRPr="00901F23">
              <w:t xml:space="preserve"> by means of a deed</w:t>
            </w:r>
            <w:r>
              <w:t xml:space="preserve"> intervened by</w:t>
            </w:r>
            <w:r w:rsidRPr="00973006">
              <w:t xml:space="preserve"> the Notary</w:t>
            </w:r>
            <w:r>
              <w:t xml:space="preserve"> of Barcelona, Ms</w:t>
            </w:r>
            <w:r w:rsidRPr="00316E16">
              <w:t>. Blanca Pardo García.</w:t>
            </w:r>
          </w:p>
        </w:tc>
      </w:tr>
      <w:tr w:rsidR="000D089E" w:rsidRPr="00BF2CC1" w14:paraId="6E8F153C"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7D446648" w14:textId="6929B581" w:rsidR="000D089E" w:rsidRPr="00602517" w:rsidRDefault="000D089E" w:rsidP="000D089E">
            <w:pPr>
              <w:pStyle w:val="AOA"/>
              <w:rPr>
                <w:lang w:val="es-ES"/>
              </w:rPr>
            </w:pPr>
            <w:r w:rsidRPr="00316E16">
              <w:rPr>
                <w:lang w:val="es-ES"/>
              </w:rPr>
              <w:lastRenderedPageBreak/>
              <w:t>Que, el [</w:t>
            </w:r>
            <w:r w:rsidRPr="00316E16">
              <w:rPr>
                <w:lang w:val="es-ES"/>
              </w:rPr>
              <w:sym w:font="Wingdings" w:char="F06C"/>
            </w:r>
            <w:r w:rsidRPr="00316E16">
              <w:rPr>
                <w:lang w:val="es-ES"/>
              </w:rPr>
              <w:t>] de</w:t>
            </w:r>
            <w:r w:rsidR="00E81EBD">
              <w:rPr>
                <w:lang w:val="es-ES"/>
              </w:rPr>
              <w:t xml:space="preserve"> [</w:t>
            </w:r>
            <w:r w:rsidR="00E81EBD">
              <w:rPr>
                <w:lang w:val="es-ES"/>
              </w:rPr>
              <w:sym w:font="Wingdings" w:char="F06C"/>
            </w:r>
            <w:r w:rsidR="00E81EBD">
              <w:rPr>
                <w:lang w:val="es-ES"/>
              </w:rPr>
              <w:t>]</w:t>
            </w:r>
            <w:r w:rsidRPr="00316E16">
              <w:rPr>
                <w:lang w:val="es-ES"/>
              </w:rPr>
              <w:t xml:space="preserve"> 2025, se ha suscrito </w:t>
            </w:r>
            <w:r w:rsidRPr="00602517">
              <w:rPr>
                <w:lang w:val="es-ES"/>
              </w:rPr>
              <w:t xml:space="preserve">una </w:t>
            </w:r>
            <w:r w:rsidR="00453D6A">
              <w:rPr>
                <w:lang w:val="es-ES"/>
              </w:rPr>
              <w:t>carta de voto de novación denominada en inglés “</w:t>
            </w:r>
            <w:r w:rsidRPr="00453D6A">
              <w:rPr>
                <w:i/>
                <w:iCs/>
                <w:lang w:val="es-ES"/>
              </w:rPr>
              <w:t>STID</w:t>
            </w:r>
            <w:r w:rsidR="00453D6A">
              <w:rPr>
                <w:i/>
                <w:iCs/>
                <w:lang w:val="es-ES"/>
              </w:rPr>
              <w:t xml:space="preserve"> </w:t>
            </w:r>
            <w:proofErr w:type="spellStart"/>
            <w:r w:rsidR="00453D6A">
              <w:rPr>
                <w:i/>
                <w:iCs/>
                <w:lang w:val="es-ES"/>
              </w:rPr>
              <w:t>Proposal</w:t>
            </w:r>
            <w:proofErr w:type="spellEnd"/>
            <w:r w:rsidR="00453D6A">
              <w:rPr>
                <w:lang w:val="es-ES"/>
              </w:rPr>
              <w:t>”</w:t>
            </w:r>
            <w:r w:rsidRPr="00602517">
              <w:rPr>
                <w:lang w:val="es-ES"/>
              </w:rPr>
              <w:t xml:space="preserve"> sujeta a derecho inglés, de fecha 1 de marzo de 2024, emitida por Beacon Rail Leasing </w:t>
            </w:r>
            <w:proofErr w:type="spellStart"/>
            <w:r w:rsidRPr="00602517">
              <w:rPr>
                <w:lang w:val="es-ES"/>
              </w:rPr>
              <w:t>S.à</w:t>
            </w:r>
            <w:proofErr w:type="spellEnd"/>
            <w:r w:rsidRPr="00602517">
              <w:rPr>
                <w:lang w:val="es-ES"/>
              </w:rPr>
              <w:t xml:space="preserve"> </w:t>
            </w:r>
            <w:proofErr w:type="spellStart"/>
            <w:r w:rsidRPr="00602517">
              <w:rPr>
                <w:lang w:val="es-ES"/>
              </w:rPr>
              <w:t>r.l</w:t>
            </w:r>
            <w:proofErr w:type="spellEnd"/>
            <w:r w:rsidRPr="00602517">
              <w:rPr>
                <w:lang w:val="es-ES"/>
              </w:rPr>
              <w:t>. como agente de garantías del grupo (</w:t>
            </w:r>
            <w:r w:rsidRPr="00602517">
              <w:rPr>
                <w:i/>
                <w:iCs/>
                <w:lang w:val="es-ES"/>
              </w:rPr>
              <w:t xml:space="preserve">Security </w:t>
            </w:r>
            <w:proofErr w:type="spellStart"/>
            <w:r w:rsidRPr="00602517">
              <w:rPr>
                <w:i/>
                <w:iCs/>
                <w:lang w:val="es-ES"/>
              </w:rPr>
              <w:t>Group</w:t>
            </w:r>
            <w:proofErr w:type="spellEnd"/>
            <w:r w:rsidRPr="00602517">
              <w:rPr>
                <w:i/>
                <w:iCs/>
                <w:lang w:val="es-ES"/>
              </w:rPr>
              <w:t xml:space="preserve"> </w:t>
            </w:r>
            <w:proofErr w:type="spellStart"/>
            <w:r w:rsidRPr="00602517">
              <w:rPr>
                <w:i/>
                <w:iCs/>
                <w:lang w:val="es-ES"/>
              </w:rPr>
              <w:t>Agent</w:t>
            </w:r>
            <w:proofErr w:type="spellEnd"/>
            <w:r w:rsidRPr="00602517">
              <w:rPr>
                <w:lang w:val="es-ES"/>
              </w:rPr>
              <w:t xml:space="preserve">) y a ser contrafirmada por ING Bank, </w:t>
            </w:r>
            <w:r w:rsidRPr="00316E16">
              <w:rPr>
                <w:lang w:val="es-ES"/>
              </w:rPr>
              <w:t>N.V como</w:t>
            </w:r>
            <w:r w:rsidRPr="00602517">
              <w:rPr>
                <w:lang w:val="es-ES"/>
              </w:rPr>
              <w:t xml:space="preserve"> agente de garantías (</w:t>
            </w:r>
            <w:r w:rsidRPr="00602517">
              <w:rPr>
                <w:i/>
                <w:iCs/>
                <w:lang w:val="es-ES"/>
              </w:rPr>
              <w:t>Security Trustee</w:t>
            </w:r>
            <w:r w:rsidRPr="00602517">
              <w:rPr>
                <w:lang w:val="es-ES"/>
              </w:rPr>
              <w:t>). En adelante, tal y como este sea novada, modificada, refundida, extendida, ratificada y/o complementada en cada momento, y junto con cualesquiera propuestas de votación a la misma (</w:t>
            </w:r>
            <w:r w:rsidRPr="00602517">
              <w:rPr>
                <w:i/>
                <w:iCs/>
                <w:lang w:val="es-ES"/>
              </w:rPr>
              <w:t xml:space="preserve">STID </w:t>
            </w:r>
            <w:proofErr w:type="spellStart"/>
            <w:r w:rsidRPr="00602517">
              <w:rPr>
                <w:i/>
                <w:iCs/>
                <w:lang w:val="es-ES"/>
              </w:rPr>
              <w:t>Voting</w:t>
            </w:r>
            <w:proofErr w:type="spellEnd"/>
            <w:r w:rsidRPr="00602517">
              <w:rPr>
                <w:i/>
                <w:iCs/>
                <w:lang w:val="es-ES"/>
              </w:rPr>
              <w:t xml:space="preserve"> </w:t>
            </w:r>
            <w:proofErr w:type="spellStart"/>
            <w:r w:rsidRPr="00602517">
              <w:rPr>
                <w:i/>
                <w:iCs/>
                <w:lang w:val="es-ES"/>
              </w:rPr>
              <w:t>Request</w:t>
            </w:r>
            <w:proofErr w:type="spellEnd"/>
            <w:r w:rsidRPr="00602517">
              <w:rPr>
                <w:lang w:val="es-ES"/>
              </w:rPr>
              <w:t xml:space="preserve">) será referida como la </w:t>
            </w:r>
            <w:r w:rsidRPr="00602517">
              <w:rPr>
                <w:b/>
                <w:bCs/>
                <w:lang w:val="es-ES"/>
              </w:rPr>
              <w:t>Propuesta STID</w:t>
            </w:r>
            <w:r>
              <w:rPr>
                <w:b/>
                <w:bCs/>
                <w:lang w:val="es-ES"/>
              </w:rPr>
              <w:t xml:space="preserve"> 2025</w:t>
            </w:r>
            <w:r w:rsidRPr="00602517">
              <w:rPr>
                <w:lang w:val="es-ES"/>
              </w:rPr>
              <w:t>;</w:t>
            </w:r>
          </w:p>
        </w:tc>
        <w:tc>
          <w:tcPr>
            <w:tcW w:w="2500" w:type="pct"/>
            <w:shd w:val="clear" w:color="auto" w:fill="auto"/>
          </w:tcPr>
          <w:p w14:paraId="4414D729" w14:textId="3E76A4DD" w:rsidR="000D089E" w:rsidRPr="00602517" w:rsidRDefault="000D089E" w:rsidP="005302CC">
            <w:pPr>
              <w:pStyle w:val="AODocTxt"/>
              <w:numPr>
                <w:ilvl w:val="0"/>
                <w:numId w:val="39"/>
              </w:numPr>
              <w:ind w:hanging="720"/>
            </w:pPr>
            <w:r w:rsidRPr="005302CC">
              <w:rPr>
                <w:color w:val="000000" w:themeColor="text1"/>
              </w:rPr>
              <w:t>That, on [</w:t>
            </w:r>
            <w:r w:rsidRPr="005302CC">
              <w:rPr>
                <w:color w:val="000000" w:themeColor="text1"/>
              </w:rPr>
              <w:sym w:font="Wingdings" w:char="F06C"/>
            </w:r>
            <w:r w:rsidRPr="005302CC">
              <w:rPr>
                <w:color w:val="000000" w:themeColor="text1"/>
              </w:rPr>
              <w:t xml:space="preserve">] </w:t>
            </w:r>
            <w:r w:rsidR="00FD3228">
              <w:rPr>
                <w:color w:val="000000" w:themeColor="text1"/>
              </w:rPr>
              <w:t>[</w:t>
            </w:r>
            <w:r w:rsidR="00FD3228">
              <w:rPr>
                <w:color w:val="000000" w:themeColor="text1"/>
              </w:rPr>
              <w:sym w:font="Wingdings" w:char="F06C"/>
            </w:r>
            <w:r w:rsidR="00FD3228">
              <w:rPr>
                <w:color w:val="000000" w:themeColor="text1"/>
              </w:rPr>
              <w:t xml:space="preserve">] </w:t>
            </w:r>
            <w:r w:rsidRPr="005302CC">
              <w:rPr>
                <w:color w:val="000000" w:themeColor="text1"/>
              </w:rPr>
              <w:t xml:space="preserve">2025, an English law STID Proposal dated 1 March 2024 issued by Beacon Rail Leasing </w:t>
            </w:r>
            <w:proofErr w:type="spellStart"/>
            <w:r w:rsidRPr="005302CC">
              <w:rPr>
                <w:color w:val="000000" w:themeColor="text1"/>
              </w:rPr>
              <w:t>S.à</w:t>
            </w:r>
            <w:proofErr w:type="spellEnd"/>
            <w:r w:rsidRPr="005302CC">
              <w:rPr>
                <w:color w:val="000000" w:themeColor="text1"/>
              </w:rPr>
              <w:t xml:space="preserve"> </w:t>
            </w:r>
            <w:proofErr w:type="spellStart"/>
            <w:r w:rsidRPr="005302CC">
              <w:rPr>
                <w:color w:val="000000" w:themeColor="text1"/>
              </w:rPr>
              <w:t>r.l</w:t>
            </w:r>
            <w:proofErr w:type="spellEnd"/>
            <w:r w:rsidRPr="005302CC">
              <w:rPr>
                <w:color w:val="000000" w:themeColor="text1"/>
              </w:rPr>
              <w:t xml:space="preserve">. as security group agent and to be countersigned by the Grantor as the Security Trustee has been </w:t>
            </w:r>
            <w:proofErr w:type="gramStart"/>
            <w:r w:rsidRPr="005302CC">
              <w:rPr>
                <w:color w:val="000000" w:themeColor="text1"/>
              </w:rPr>
              <w:t>entered into</w:t>
            </w:r>
            <w:proofErr w:type="gramEnd"/>
            <w:r w:rsidRPr="005302CC">
              <w:rPr>
                <w:color w:val="000000" w:themeColor="text1"/>
              </w:rPr>
              <w:t xml:space="preserve">. Hereinafter, and together with any STID Voting Request related to it, as it may be amended, restated, extended, ratified and/or supplemented from time to time, the </w:t>
            </w:r>
            <w:r w:rsidRPr="005302CC">
              <w:rPr>
                <w:b/>
                <w:bCs/>
                <w:color w:val="000000" w:themeColor="text1"/>
              </w:rPr>
              <w:t>2025 STID Proposal</w:t>
            </w:r>
            <w:r w:rsidRPr="005302CC">
              <w:rPr>
                <w:color w:val="000000" w:themeColor="text1"/>
              </w:rPr>
              <w:t>;</w:t>
            </w:r>
          </w:p>
        </w:tc>
      </w:tr>
      <w:tr w:rsidR="00FD3228" w:rsidRPr="00BF2CC1" w14:paraId="08E83BAA"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77BD6358" w14:textId="2CC31A2B" w:rsidR="00FD3228" w:rsidRPr="00316E16" w:rsidRDefault="00FD3228" w:rsidP="00FD3228">
            <w:pPr>
              <w:pStyle w:val="AOA"/>
              <w:numPr>
                <w:ilvl w:val="0"/>
                <w:numId w:val="0"/>
              </w:numPr>
              <w:ind w:left="720"/>
              <w:rPr>
                <w:lang w:val="es-ES"/>
              </w:rPr>
            </w:pPr>
            <w:r>
              <w:rPr>
                <w:lang w:val="es-ES"/>
              </w:rPr>
              <w:t>La</w:t>
            </w:r>
            <w:r w:rsidRPr="000D3E9E">
              <w:rPr>
                <w:lang w:val="es-ES"/>
              </w:rPr>
              <w:t xml:space="preserve"> </w:t>
            </w:r>
            <w:r>
              <w:rPr>
                <w:lang w:val="es-ES"/>
              </w:rPr>
              <w:t xml:space="preserve">Propuesta STID </w:t>
            </w:r>
            <w:r w:rsidRPr="00BD1587">
              <w:rPr>
                <w:lang w:val="es-ES"/>
              </w:rPr>
              <w:t>202</w:t>
            </w:r>
            <w:r>
              <w:rPr>
                <w:lang w:val="es-ES"/>
              </w:rPr>
              <w:t>5</w:t>
            </w:r>
            <w:r>
              <w:rPr>
                <w:b/>
                <w:bCs/>
                <w:lang w:val="es-ES"/>
              </w:rPr>
              <w:t xml:space="preserve"> </w:t>
            </w:r>
            <w:r>
              <w:rPr>
                <w:lang w:val="es-ES"/>
              </w:rPr>
              <w:t>ha sido</w:t>
            </w:r>
            <w:r w:rsidRPr="000D3E9E">
              <w:rPr>
                <w:lang w:val="es-ES"/>
              </w:rPr>
              <w:t xml:space="preserve"> elevad</w:t>
            </w:r>
            <w:r>
              <w:rPr>
                <w:lang w:val="es-ES"/>
              </w:rPr>
              <w:t>a</w:t>
            </w:r>
            <w:r w:rsidRPr="000D3E9E">
              <w:rPr>
                <w:lang w:val="es-ES"/>
              </w:rPr>
              <w:t xml:space="preserve"> a público </w:t>
            </w:r>
            <w:r>
              <w:rPr>
                <w:lang w:val="es-ES"/>
              </w:rPr>
              <w:t xml:space="preserve">parcialmente </w:t>
            </w:r>
            <w:r w:rsidRPr="000D3E9E">
              <w:rPr>
                <w:lang w:val="es-ES"/>
              </w:rPr>
              <w:t xml:space="preserve">en esta misma fecha en virtud de póliza intervenida por </w:t>
            </w:r>
            <w:r>
              <w:rPr>
                <w:lang w:val="es-ES"/>
              </w:rPr>
              <w:t>la</w:t>
            </w:r>
            <w:r w:rsidRPr="000D3E9E">
              <w:rPr>
                <w:lang w:val="es-ES"/>
              </w:rPr>
              <w:t xml:space="preserve"> </w:t>
            </w:r>
            <w:r w:rsidRPr="00E53971">
              <w:rPr>
                <w:lang w:val="es-ES"/>
              </w:rPr>
              <w:t xml:space="preserve">Notario </w:t>
            </w:r>
            <w:r>
              <w:rPr>
                <w:lang w:val="es-ES"/>
              </w:rPr>
              <w:t>de Barcelona, Dña. Blanca Pardo García.</w:t>
            </w:r>
          </w:p>
        </w:tc>
        <w:tc>
          <w:tcPr>
            <w:tcW w:w="2500" w:type="pct"/>
            <w:shd w:val="clear" w:color="auto" w:fill="auto"/>
          </w:tcPr>
          <w:p w14:paraId="37992333" w14:textId="4F8711AA" w:rsidR="00FD3228" w:rsidRPr="005302CC" w:rsidRDefault="00FD3228" w:rsidP="00FD3228">
            <w:pPr>
              <w:pStyle w:val="AODocTxt"/>
              <w:numPr>
                <w:ilvl w:val="0"/>
                <w:numId w:val="0"/>
              </w:numPr>
              <w:ind w:left="720"/>
              <w:rPr>
                <w:color w:val="000000" w:themeColor="text1"/>
              </w:rPr>
            </w:pPr>
            <w:r w:rsidRPr="000D3E9E">
              <w:t xml:space="preserve">The </w:t>
            </w:r>
            <w:r w:rsidRPr="00FD3228">
              <w:t xml:space="preserve">2025 STID Proposal </w:t>
            </w:r>
            <w:r>
              <w:t>has</w:t>
            </w:r>
            <w:r w:rsidRPr="000D3E9E">
              <w:t xml:space="preserve"> </w:t>
            </w:r>
            <w:r>
              <w:t xml:space="preserve">partially been </w:t>
            </w:r>
            <w:r w:rsidRPr="000D3E9E">
              <w:t xml:space="preserve">raised to the status of public document on such same date by means of a deed intervened by the </w:t>
            </w:r>
            <w:r>
              <w:t xml:space="preserve">Notary of Barcelona Ms. Blanca Pardo García. </w:t>
            </w:r>
          </w:p>
        </w:tc>
      </w:tr>
      <w:tr w:rsidR="00FD3228" w:rsidRPr="00BF2CC1" w14:paraId="08F8592C"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65EC0777" w14:textId="7C977BA2" w:rsidR="00FD3228" w:rsidRPr="00FD3228" w:rsidRDefault="00FD3228" w:rsidP="00FD3228">
            <w:pPr>
              <w:pStyle w:val="AOA"/>
              <w:rPr>
                <w:lang w:val="es-ES"/>
              </w:rPr>
            </w:pPr>
            <w:r>
              <w:rPr>
                <w:lang w:val="es-ES"/>
              </w:rPr>
              <w:t>Que, el [</w:t>
            </w:r>
            <w:r>
              <w:rPr>
                <w:lang w:val="es-ES"/>
              </w:rPr>
              <w:sym w:font="Wingdings" w:char="F06C"/>
            </w:r>
            <w:r>
              <w:rPr>
                <w:lang w:val="es-ES"/>
              </w:rPr>
              <w:t>] de [</w:t>
            </w:r>
            <w:r>
              <w:rPr>
                <w:lang w:val="es-ES"/>
              </w:rPr>
              <w:sym w:font="Wingdings" w:char="F06C"/>
            </w:r>
            <w:r>
              <w:rPr>
                <w:lang w:val="es-ES"/>
              </w:rPr>
              <w:t>] de 2025</w:t>
            </w:r>
            <w:r w:rsidR="00BB7964">
              <w:rPr>
                <w:lang w:val="es-ES"/>
              </w:rPr>
              <w:t xml:space="preserve"> </w:t>
            </w:r>
            <w:r w:rsidRPr="000D3E9E">
              <w:rPr>
                <w:lang w:val="es-ES"/>
              </w:rPr>
              <w:t xml:space="preserve">se </w:t>
            </w:r>
            <w:r w:rsidR="00BB7964">
              <w:rPr>
                <w:lang w:val="es-ES"/>
              </w:rPr>
              <w:t xml:space="preserve">ha suscrito </w:t>
            </w:r>
            <w:r w:rsidRPr="000D3E9E">
              <w:rPr>
                <w:lang w:val="es-ES"/>
              </w:rPr>
              <w:t xml:space="preserve">un </w:t>
            </w:r>
            <w:r w:rsidRPr="000D3E9E">
              <w:rPr>
                <w:lang w:val="es" w:eastAsia="es-ES"/>
              </w:rPr>
              <w:t xml:space="preserve">contrato </w:t>
            </w:r>
            <w:r w:rsidR="00BB7964">
              <w:rPr>
                <w:lang w:val="es" w:eastAsia="es-ES"/>
              </w:rPr>
              <w:t xml:space="preserve">de </w:t>
            </w:r>
            <w:r w:rsidR="00BB7964" w:rsidRPr="00BB7964">
              <w:rPr>
                <w:lang w:val="es" w:eastAsia="es-ES"/>
              </w:rPr>
              <w:t xml:space="preserve">novación al </w:t>
            </w:r>
            <w:r w:rsidR="00CD0AFE">
              <w:rPr>
                <w:lang w:val="es" w:eastAsia="es-ES"/>
              </w:rPr>
              <w:t xml:space="preserve">(i) </w:t>
            </w:r>
            <w:r w:rsidR="00BB7964" w:rsidRPr="00BB7964">
              <w:rPr>
                <w:lang w:val="es-ES" w:eastAsia="es-ES"/>
              </w:rPr>
              <w:t>C</w:t>
            </w:r>
            <w:proofErr w:type="spellStart"/>
            <w:r w:rsidR="00BB7964" w:rsidRPr="00BB7964">
              <w:rPr>
                <w:lang w:val="es" w:eastAsia="es-ES"/>
              </w:rPr>
              <w:t>ontrato</w:t>
            </w:r>
            <w:proofErr w:type="spellEnd"/>
            <w:r w:rsidR="00BB7964" w:rsidRPr="00BB7964">
              <w:rPr>
                <w:lang w:val="es" w:eastAsia="es-ES"/>
              </w:rPr>
              <w:t xml:space="preserve"> de Crédito Autorizado Inicial</w:t>
            </w:r>
            <w:r w:rsidR="00CD0AFE">
              <w:rPr>
                <w:lang w:val="es" w:eastAsia="es-ES"/>
              </w:rPr>
              <w:t xml:space="preserve"> por</w:t>
            </w:r>
            <w:r w:rsidR="00BB7964" w:rsidRPr="00BB7964">
              <w:rPr>
                <w:lang w:val="es" w:eastAsia="es-ES"/>
              </w:rPr>
              <w:t xml:space="preserve">, entre otros, </w:t>
            </w:r>
            <w:r w:rsidR="00BB7964" w:rsidRPr="003D631E">
              <w:rPr>
                <w:lang w:val="es-ES"/>
              </w:rPr>
              <w:t xml:space="preserve">Beacon Finco </w:t>
            </w:r>
            <w:proofErr w:type="spellStart"/>
            <w:r w:rsidR="00BB7964" w:rsidRPr="003D631E">
              <w:rPr>
                <w:lang w:val="es-ES"/>
              </w:rPr>
              <w:t>S.à</w:t>
            </w:r>
            <w:proofErr w:type="spellEnd"/>
            <w:r w:rsidR="00BB7964" w:rsidRPr="003D631E">
              <w:rPr>
                <w:lang w:val="es-ES"/>
              </w:rPr>
              <w:t xml:space="preserve"> </w:t>
            </w:r>
            <w:proofErr w:type="spellStart"/>
            <w:r w:rsidR="00BB7964" w:rsidRPr="003D631E">
              <w:rPr>
                <w:lang w:val="es-ES"/>
              </w:rPr>
              <w:t>r.l</w:t>
            </w:r>
            <w:proofErr w:type="spellEnd"/>
            <w:r w:rsidR="00BB7964" w:rsidRPr="003D631E">
              <w:rPr>
                <w:lang w:val="es-ES"/>
              </w:rPr>
              <w:t>.</w:t>
            </w:r>
            <w:r w:rsidR="00BB7964" w:rsidRPr="00316E16">
              <w:rPr>
                <w:lang w:val="es-ES"/>
              </w:rPr>
              <w:t xml:space="preserve"> </w:t>
            </w:r>
            <w:r w:rsidR="00BB7964" w:rsidRPr="003D631E">
              <w:rPr>
                <w:lang w:val="es-ES"/>
              </w:rPr>
              <w:t xml:space="preserve">como </w:t>
            </w:r>
            <w:r w:rsidR="00BB7964" w:rsidRPr="00BB7964">
              <w:rPr>
                <w:lang w:val="es" w:eastAsia="es-ES"/>
              </w:rPr>
              <w:t xml:space="preserve">como </w:t>
            </w:r>
            <w:r w:rsidR="00CD0AFE">
              <w:rPr>
                <w:lang w:val="es" w:eastAsia="es-ES"/>
              </w:rPr>
              <w:t>p</w:t>
            </w:r>
            <w:r w:rsidR="00BB7964" w:rsidRPr="00BB7964">
              <w:rPr>
                <w:lang w:val="es" w:eastAsia="es-ES"/>
              </w:rPr>
              <w:t xml:space="preserve">restatario </w:t>
            </w:r>
            <w:r w:rsidR="00CD0AFE">
              <w:rPr>
                <w:lang w:val="es" w:eastAsia="es-ES"/>
              </w:rPr>
              <w:t>a</w:t>
            </w:r>
            <w:r w:rsidR="00BB7964" w:rsidRPr="00BB7964">
              <w:rPr>
                <w:lang w:val="es" w:eastAsia="es-ES"/>
              </w:rPr>
              <w:t>ccesorio</w:t>
            </w:r>
            <w:r w:rsidR="00CD0AFE">
              <w:rPr>
                <w:lang w:val="es" w:eastAsia="es-ES"/>
              </w:rPr>
              <w:t xml:space="preserve"> (</w:t>
            </w:r>
            <w:proofErr w:type="spellStart"/>
            <w:r w:rsidR="00CD0AFE" w:rsidRPr="00CD0AFE">
              <w:rPr>
                <w:i/>
                <w:iCs/>
                <w:lang w:val="es-ES" w:eastAsia="es-ES"/>
              </w:rPr>
              <w:t>Ancillary</w:t>
            </w:r>
            <w:proofErr w:type="spellEnd"/>
            <w:r w:rsidR="00CD0AFE" w:rsidRPr="00CD0AFE">
              <w:rPr>
                <w:i/>
                <w:iCs/>
                <w:lang w:val="es-ES" w:eastAsia="es-ES"/>
              </w:rPr>
              <w:t xml:space="preserve"> </w:t>
            </w:r>
            <w:proofErr w:type="spellStart"/>
            <w:r w:rsidR="00CD0AFE" w:rsidRPr="00CD0AFE">
              <w:rPr>
                <w:i/>
                <w:iCs/>
                <w:lang w:val="es-ES" w:eastAsia="es-ES"/>
              </w:rPr>
              <w:t>Borrower</w:t>
            </w:r>
            <w:proofErr w:type="spellEnd"/>
            <w:r w:rsidR="00CD0AFE">
              <w:rPr>
                <w:lang w:val="es" w:eastAsia="es-ES"/>
              </w:rPr>
              <w:t>)</w:t>
            </w:r>
            <w:r w:rsidR="00BB7964" w:rsidRPr="00BB7964">
              <w:rPr>
                <w:lang w:val="es" w:eastAsia="es-ES"/>
              </w:rPr>
              <w:t xml:space="preserve"> e ING Bank, una sucursal de ING-</w:t>
            </w:r>
            <w:proofErr w:type="spellStart"/>
            <w:r w:rsidR="00BB7964" w:rsidRPr="00BB7964">
              <w:rPr>
                <w:lang w:val="es" w:eastAsia="es-ES"/>
              </w:rPr>
              <w:t>DiBa</w:t>
            </w:r>
            <w:proofErr w:type="spellEnd"/>
            <w:r w:rsidR="00BB7964" w:rsidRPr="00BB7964">
              <w:rPr>
                <w:lang w:val="es" w:eastAsia="es-ES"/>
              </w:rPr>
              <w:t xml:space="preserve"> AG como </w:t>
            </w:r>
            <w:r w:rsidR="00CD0AFE">
              <w:rPr>
                <w:lang w:val="es" w:eastAsia="es-ES"/>
              </w:rPr>
              <w:t>p</w:t>
            </w:r>
            <w:r w:rsidR="00BB7964" w:rsidRPr="00BB7964">
              <w:rPr>
                <w:lang w:val="es" w:eastAsia="es-ES"/>
              </w:rPr>
              <w:t xml:space="preserve">restamista </w:t>
            </w:r>
            <w:r w:rsidR="00CD0AFE">
              <w:rPr>
                <w:lang w:val="es" w:eastAsia="es-ES"/>
              </w:rPr>
              <w:t>a</w:t>
            </w:r>
            <w:r w:rsidR="00BB7964" w:rsidRPr="00BB7964">
              <w:rPr>
                <w:lang w:val="es" w:eastAsia="es-ES"/>
              </w:rPr>
              <w:t>ccesorio</w:t>
            </w:r>
            <w:r w:rsidR="00CD0AFE">
              <w:rPr>
                <w:lang w:val="es" w:eastAsia="es-ES"/>
              </w:rPr>
              <w:t xml:space="preserve"> </w:t>
            </w:r>
            <w:r w:rsidR="00CD0AFE" w:rsidRPr="00CD0AFE">
              <w:rPr>
                <w:lang w:val="es-ES" w:eastAsia="es-ES"/>
              </w:rPr>
              <w:t>(</w:t>
            </w:r>
            <w:proofErr w:type="spellStart"/>
            <w:r w:rsidR="00CD0AFE" w:rsidRPr="00CD0AFE">
              <w:rPr>
                <w:i/>
                <w:iCs/>
                <w:lang w:val="es-ES" w:eastAsia="es-ES"/>
              </w:rPr>
              <w:t>Ancillary</w:t>
            </w:r>
            <w:proofErr w:type="spellEnd"/>
            <w:r w:rsidR="00CD0AFE" w:rsidRPr="00CD0AFE">
              <w:rPr>
                <w:i/>
                <w:iCs/>
                <w:lang w:val="es-ES" w:eastAsia="es-ES"/>
              </w:rPr>
              <w:t xml:space="preserve"> </w:t>
            </w:r>
            <w:proofErr w:type="spellStart"/>
            <w:r w:rsidR="00CD0AFE" w:rsidRPr="00CD0AFE">
              <w:rPr>
                <w:i/>
                <w:iCs/>
                <w:lang w:val="es-ES" w:eastAsia="es-ES"/>
              </w:rPr>
              <w:t>Lender</w:t>
            </w:r>
            <w:proofErr w:type="spellEnd"/>
            <w:r w:rsidR="00CD0AFE">
              <w:rPr>
                <w:lang w:val="es" w:eastAsia="es-ES"/>
              </w:rPr>
              <w:t>)</w:t>
            </w:r>
            <w:r w:rsidR="00BB7964" w:rsidRPr="00BB7964">
              <w:rPr>
                <w:lang w:val="es" w:eastAsia="es-ES"/>
              </w:rPr>
              <w:t xml:space="preserve">; y </w:t>
            </w:r>
            <w:r w:rsidR="00CD0AFE">
              <w:rPr>
                <w:lang w:val="es" w:eastAsia="es-ES"/>
              </w:rPr>
              <w:t>(</w:t>
            </w:r>
            <w:proofErr w:type="spellStart"/>
            <w:r w:rsidR="00CD0AFE">
              <w:rPr>
                <w:lang w:val="es" w:eastAsia="es-ES"/>
              </w:rPr>
              <w:t>ii</w:t>
            </w:r>
            <w:proofErr w:type="spellEnd"/>
            <w:r w:rsidR="00CD0AFE">
              <w:rPr>
                <w:lang w:val="es" w:eastAsia="es-ES"/>
              </w:rPr>
              <w:t>) a</w:t>
            </w:r>
            <w:r w:rsidR="00BB7964" w:rsidRPr="00BB7964">
              <w:rPr>
                <w:lang w:val="es" w:eastAsia="es-ES"/>
              </w:rPr>
              <w:t xml:space="preserve">l contrato de </w:t>
            </w:r>
            <w:r w:rsidR="00CD0AFE">
              <w:rPr>
                <w:lang w:val="es" w:eastAsia="es-ES"/>
              </w:rPr>
              <w:t xml:space="preserve">financiación accesoria </w:t>
            </w:r>
            <w:r w:rsidR="00BB7964" w:rsidRPr="00BB7964">
              <w:rPr>
                <w:lang w:val="es" w:eastAsia="es-ES"/>
              </w:rPr>
              <w:t xml:space="preserve">de fecha 12 de mayo de 2023, </w:t>
            </w:r>
            <w:r w:rsidR="00CD0AFE">
              <w:rPr>
                <w:lang w:val="es" w:eastAsia="es-ES"/>
              </w:rPr>
              <w:t xml:space="preserve">novado </w:t>
            </w:r>
            <w:r w:rsidR="00BB7964" w:rsidRPr="00BB7964">
              <w:rPr>
                <w:lang w:val="es" w:eastAsia="es-ES"/>
              </w:rPr>
              <w:t xml:space="preserve">el 17 de abril de 2024, </w:t>
            </w:r>
            <w:r w:rsidR="00CD0AFE">
              <w:rPr>
                <w:lang w:val="es" w:eastAsia="es-ES"/>
              </w:rPr>
              <w:t>por</w:t>
            </w:r>
            <w:r w:rsidR="00CD0AFE" w:rsidRPr="00BB7964">
              <w:rPr>
                <w:lang w:val="es" w:eastAsia="es-ES"/>
              </w:rPr>
              <w:t xml:space="preserve">, entre otros, </w:t>
            </w:r>
            <w:r w:rsidR="00CD0AFE" w:rsidRPr="003D631E">
              <w:rPr>
                <w:lang w:val="es-ES"/>
              </w:rPr>
              <w:t xml:space="preserve">Beacon Finco </w:t>
            </w:r>
            <w:proofErr w:type="spellStart"/>
            <w:r w:rsidR="00CD0AFE" w:rsidRPr="003D631E">
              <w:rPr>
                <w:lang w:val="es-ES"/>
              </w:rPr>
              <w:t>S.à</w:t>
            </w:r>
            <w:proofErr w:type="spellEnd"/>
            <w:r w:rsidR="00CD0AFE" w:rsidRPr="003D631E">
              <w:rPr>
                <w:lang w:val="es-ES"/>
              </w:rPr>
              <w:t xml:space="preserve"> </w:t>
            </w:r>
            <w:proofErr w:type="spellStart"/>
            <w:r w:rsidR="00CD0AFE" w:rsidRPr="003D631E">
              <w:rPr>
                <w:lang w:val="es-ES"/>
              </w:rPr>
              <w:t>r.l</w:t>
            </w:r>
            <w:proofErr w:type="spellEnd"/>
            <w:r w:rsidR="00CD0AFE" w:rsidRPr="003D631E">
              <w:rPr>
                <w:lang w:val="es-ES"/>
              </w:rPr>
              <w:t>.</w:t>
            </w:r>
            <w:r w:rsidR="00CD0AFE" w:rsidRPr="00316E16">
              <w:rPr>
                <w:lang w:val="es-ES"/>
              </w:rPr>
              <w:t xml:space="preserve"> </w:t>
            </w:r>
            <w:r w:rsidR="00CD0AFE" w:rsidRPr="003D631E">
              <w:rPr>
                <w:lang w:val="es-ES"/>
              </w:rPr>
              <w:t xml:space="preserve">como </w:t>
            </w:r>
            <w:r w:rsidR="00CD0AFE" w:rsidRPr="00BB7964">
              <w:rPr>
                <w:lang w:val="es" w:eastAsia="es-ES"/>
              </w:rPr>
              <w:t xml:space="preserve">como </w:t>
            </w:r>
            <w:r w:rsidR="00CD0AFE">
              <w:rPr>
                <w:lang w:val="es" w:eastAsia="es-ES"/>
              </w:rPr>
              <w:t>p</w:t>
            </w:r>
            <w:r w:rsidR="00CD0AFE" w:rsidRPr="00BB7964">
              <w:rPr>
                <w:lang w:val="es" w:eastAsia="es-ES"/>
              </w:rPr>
              <w:t xml:space="preserve">restatario </w:t>
            </w:r>
            <w:r w:rsidR="00CD0AFE">
              <w:rPr>
                <w:lang w:val="es" w:eastAsia="es-ES"/>
              </w:rPr>
              <w:t>a</w:t>
            </w:r>
            <w:r w:rsidR="00CD0AFE" w:rsidRPr="00BB7964">
              <w:rPr>
                <w:lang w:val="es" w:eastAsia="es-ES"/>
              </w:rPr>
              <w:t>ccesorio</w:t>
            </w:r>
            <w:r w:rsidR="00CD0AFE">
              <w:rPr>
                <w:lang w:val="es" w:eastAsia="es-ES"/>
              </w:rPr>
              <w:t xml:space="preserve"> (</w:t>
            </w:r>
            <w:proofErr w:type="spellStart"/>
            <w:r w:rsidR="00CD0AFE" w:rsidRPr="00CD0AFE">
              <w:rPr>
                <w:i/>
                <w:iCs/>
                <w:lang w:val="es-ES" w:eastAsia="es-ES"/>
              </w:rPr>
              <w:t>Ancillary</w:t>
            </w:r>
            <w:proofErr w:type="spellEnd"/>
            <w:r w:rsidR="00CD0AFE" w:rsidRPr="00CD0AFE">
              <w:rPr>
                <w:i/>
                <w:iCs/>
                <w:lang w:val="es-ES" w:eastAsia="es-ES"/>
              </w:rPr>
              <w:t xml:space="preserve"> </w:t>
            </w:r>
            <w:proofErr w:type="spellStart"/>
            <w:r w:rsidR="00CD0AFE" w:rsidRPr="00CD0AFE">
              <w:rPr>
                <w:i/>
                <w:iCs/>
                <w:lang w:val="es-ES" w:eastAsia="es-ES"/>
              </w:rPr>
              <w:t>Borrower</w:t>
            </w:r>
            <w:proofErr w:type="spellEnd"/>
            <w:r w:rsidR="00CD0AFE">
              <w:rPr>
                <w:lang w:val="es" w:eastAsia="es-ES"/>
              </w:rPr>
              <w:t>)</w:t>
            </w:r>
            <w:r w:rsidR="00CD0AFE" w:rsidRPr="00BB7964">
              <w:rPr>
                <w:lang w:val="es" w:eastAsia="es-ES"/>
              </w:rPr>
              <w:t xml:space="preserve"> e ING Bank, una sucursal de ING-</w:t>
            </w:r>
            <w:proofErr w:type="spellStart"/>
            <w:r w:rsidR="00CD0AFE" w:rsidRPr="00BB7964">
              <w:rPr>
                <w:lang w:val="es" w:eastAsia="es-ES"/>
              </w:rPr>
              <w:t>DiBa</w:t>
            </w:r>
            <w:proofErr w:type="spellEnd"/>
            <w:r w:rsidR="00CD0AFE" w:rsidRPr="00BB7964">
              <w:rPr>
                <w:lang w:val="es" w:eastAsia="es-ES"/>
              </w:rPr>
              <w:t xml:space="preserve"> AG como </w:t>
            </w:r>
            <w:r w:rsidR="00CD0AFE">
              <w:rPr>
                <w:lang w:val="es" w:eastAsia="es-ES"/>
              </w:rPr>
              <w:t>p</w:t>
            </w:r>
            <w:r w:rsidR="00CD0AFE" w:rsidRPr="00BB7964">
              <w:rPr>
                <w:lang w:val="es" w:eastAsia="es-ES"/>
              </w:rPr>
              <w:t xml:space="preserve">restamista </w:t>
            </w:r>
            <w:r w:rsidR="00CD0AFE">
              <w:rPr>
                <w:lang w:val="es" w:eastAsia="es-ES"/>
              </w:rPr>
              <w:t>a</w:t>
            </w:r>
            <w:r w:rsidR="00CD0AFE" w:rsidRPr="00BB7964">
              <w:rPr>
                <w:lang w:val="es" w:eastAsia="es-ES"/>
              </w:rPr>
              <w:t>ccesorio</w:t>
            </w:r>
            <w:r w:rsidR="00CD0AFE">
              <w:rPr>
                <w:lang w:val="es" w:eastAsia="es-ES"/>
              </w:rPr>
              <w:t xml:space="preserve"> </w:t>
            </w:r>
            <w:r w:rsidR="00CD0AFE" w:rsidRPr="00CD0AFE">
              <w:rPr>
                <w:lang w:val="es-ES" w:eastAsia="es-ES"/>
              </w:rPr>
              <w:t>(</w:t>
            </w:r>
            <w:proofErr w:type="spellStart"/>
            <w:r w:rsidR="00CD0AFE" w:rsidRPr="00CD0AFE">
              <w:rPr>
                <w:i/>
                <w:iCs/>
                <w:lang w:val="es-ES" w:eastAsia="es-ES"/>
              </w:rPr>
              <w:t>Ancillary</w:t>
            </w:r>
            <w:proofErr w:type="spellEnd"/>
            <w:r w:rsidR="00CD0AFE" w:rsidRPr="00CD0AFE">
              <w:rPr>
                <w:i/>
                <w:iCs/>
                <w:lang w:val="es-ES" w:eastAsia="es-ES"/>
              </w:rPr>
              <w:t xml:space="preserve"> </w:t>
            </w:r>
            <w:proofErr w:type="spellStart"/>
            <w:r w:rsidR="00CD0AFE" w:rsidRPr="00CD0AFE">
              <w:rPr>
                <w:i/>
                <w:iCs/>
                <w:lang w:val="es-ES" w:eastAsia="es-ES"/>
              </w:rPr>
              <w:t>Lender</w:t>
            </w:r>
            <w:proofErr w:type="spellEnd"/>
            <w:r w:rsidR="00CD0AFE">
              <w:rPr>
                <w:lang w:val="es" w:eastAsia="es-ES"/>
              </w:rPr>
              <w:t>)</w:t>
            </w:r>
            <w:r w:rsidR="00BB7964" w:rsidRPr="00BB7964">
              <w:rPr>
                <w:lang w:val="es" w:eastAsia="es-ES"/>
              </w:rPr>
              <w:t xml:space="preserve">, cada uno de ellos </w:t>
            </w:r>
            <w:r w:rsidR="00CD0AFE">
              <w:rPr>
                <w:lang w:val="es" w:eastAsia="es-ES"/>
              </w:rPr>
              <w:t xml:space="preserve">novado </w:t>
            </w:r>
            <w:r w:rsidR="00BB7964" w:rsidRPr="00BB7964">
              <w:rPr>
                <w:lang w:val="es" w:eastAsia="es-ES"/>
              </w:rPr>
              <w:t xml:space="preserve">y </w:t>
            </w:r>
            <w:r w:rsidR="00CD0AFE">
              <w:rPr>
                <w:lang w:val="es" w:eastAsia="es-ES"/>
              </w:rPr>
              <w:t xml:space="preserve">refundido </w:t>
            </w:r>
            <w:r w:rsidR="00BB7964" w:rsidRPr="00BB7964">
              <w:rPr>
                <w:lang w:val="es" w:eastAsia="es-ES"/>
              </w:rPr>
              <w:t>con efectos a partir de la Fecha de Cierre</w:t>
            </w:r>
            <w:r w:rsidR="00CD0AFE">
              <w:rPr>
                <w:lang w:val="es" w:eastAsia="es-ES"/>
              </w:rPr>
              <w:t xml:space="preserve"> (</w:t>
            </w:r>
            <w:r w:rsidR="00CD0AFE">
              <w:rPr>
                <w:i/>
                <w:iCs/>
                <w:lang w:val="es" w:eastAsia="es-ES"/>
              </w:rPr>
              <w:t>Closing Date</w:t>
            </w:r>
            <w:r w:rsidR="00CD0AFE">
              <w:rPr>
                <w:lang w:val="es" w:eastAsia="es-ES"/>
              </w:rPr>
              <w:t>)</w:t>
            </w:r>
            <w:r w:rsidR="00BB7964" w:rsidRPr="00BB7964">
              <w:rPr>
                <w:lang w:val="es" w:eastAsia="es-ES"/>
              </w:rPr>
              <w:t xml:space="preserve"> </w:t>
            </w:r>
            <w:r w:rsidR="00553B6D">
              <w:rPr>
                <w:lang w:val="es" w:eastAsia="es-ES"/>
              </w:rPr>
              <w:t>tal y como dicho término se define en el Contrato de Novación 2025 (definido a continuación)</w:t>
            </w:r>
            <w:r>
              <w:rPr>
                <w:lang w:val="es-ES"/>
              </w:rPr>
              <w:t xml:space="preserve">. </w:t>
            </w:r>
            <w:r w:rsidRPr="000D3E9E">
              <w:rPr>
                <w:lang w:val="es-ES"/>
              </w:rPr>
              <w:t xml:space="preserve">En adelante, </w:t>
            </w:r>
            <w:r>
              <w:rPr>
                <w:lang w:val="es-ES"/>
              </w:rPr>
              <w:t xml:space="preserve">el </w:t>
            </w:r>
            <w:r w:rsidRPr="005465BE">
              <w:rPr>
                <w:b/>
                <w:bCs/>
                <w:lang w:val="es-ES"/>
              </w:rPr>
              <w:t>Contrato de Novación</w:t>
            </w:r>
            <w:r>
              <w:rPr>
                <w:b/>
                <w:bCs/>
                <w:lang w:val="es-ES"/>
              </w:rPr>
              <w:t xml:space="preserve"> </w:t>
            </w:r>
            <w:r w:rsidR="00553B6D">
              <w:rPr>
                <w:b/>
                <w:bCs/>
                <w:lang w:val="es-ES"/>
              </w:rPr>
              <w:t xml:space="preserve">y Refundición </w:t>
            </w:r>
            <w:r>
              <w:rPr>
                <w:b/>
                <w:lang w:val="es-ES" w:eastAsia="es-ES"/>
              </w:rPr>
              <w:t>2025</w:t>
            </w:r>
            <w:r>
              <w:rPr>
                <w:lang w:val="es-ES"/>
              </w:rPr>
              <w:t>.</w:t>
            </w:r>
          </w:p>
        </w:tc>
        <w:tc>
          <w:tcPr>
            <w:tcW w:w="2500" w:type="pct"/>
            <w:shd w:val="clear" w:color="auto" w:fill="auto"/>
          </w:tcPr>
          <w:p w14:paraId="2AE75D70" w14:textId="6009F064" w:rsidR="00FD3228" w:rsidRPr="005302CC" w:rsidRDefault="00FD3228" w:rsidP="00BB7964">
            <w:pPr>
              <w:pStyle w:val="AODocTxt"/>
              <w:numPr>
                <w:ilvl w:val="0"/>
                <w:numId w:val="39"/>
              </w:numPr>
              <w:ind w:hanging="720"/>
              <w:rPr>
                <w:color w:val="000000" w:themeColor="text1"/>
              </w:rPr>
            </w:pPr>
            <w:r w:rsidRPr="00BB7964">
              <w:t xml:space="preserve">That, on </w:t>
            </w:r>
            <w:r w:rsidR="00BB7964" w:rsidRPr="00BB7964">
              <w:t>[</w:t>
            </w:r>
            <w:r w:rsidR="00BB7964" w:rsidRPr="00BB7964">
              <w:sym w:font="Wingdings" w:char="F06C"/>
            </w:r>
            <w:r w:rsidR="00BB7964" w:rsidRPr="00BB7964">
              <w:t>]</w:t>
            </w:r>
            <w:r w:rsidRPr="00BB7964">
              <w:t xml:space="preserve"> </w:t>
            </w:r>
            <w:r w:rsidR="00BB7964" w:rsidRPr="00BB7964">
              <w:t>[</w:t>
            </w:r>
            <w:r w:rsidR="00BB7964" w:rsidRPr="00BB7964">
              <w:sym w:font="Wingdings" w:char="F06C"/>
            </w:r>
            <w:r w:rsidR="00BB7964" w:rsidRPr="00BB7964">
              <w:t>] 2025</w:t>
            </w:r>
            <w:r w:rsidRPr="00BB7964">
              <w:t xml:space="preserve">, </w:t>
            </w:r>
            <w:r w:rsidR="00553B6D" w:rsidRPr="00553B6D">
              <w:t>a</w:t>
            </w:r>
            <w:r w:rsidR="00553B6D">
              <w:t xml:space="preserve">n amendment </w:t>
            </w:r>
            <w:r w:rsidR="00553B6D" w:rsidRPr="00553B6D">
              <w:t xml:space="preserve">agreement has been entered into in respect of (i) the Initial </w:t>
            </w:r>
            <w:r w:rsidR="00553B6D">
              <w:t xml:space="preserve">Authorised </w:t>
            </w:r>
            <w:r w:rsidR="00553B6D" w:rsidRPr="00553B6D">
              <w:t xml:space="preserve">Credit </w:t>
            </w:r>
            <w:r w:rsidR="00553B6D">
              <w:t xml:space="preserve">Facilities </w:t>
            </w:r>
            <w:r w:rsidR="00553B6D" w:rsidRPr="00553B6D">
              <w:t xml:space="preserve">by, among others, Beacon Finco </w:t>
            </w:r>
            <w:proofErr w:type="spellStart"/>
            <w:r w:rsidR="00553B6D" w:rsidRPr="00553B6D">
              <w:t>S.à</w:t>
            </w:r>
            <w:proofErr w:type="spellEnd"/>
            <w:r w:rsidR="00553B6D" w:rsidRPr="00553B6D">
              <w:t xml:space="preserve"> </w:t>
            </w:r>
            <w:proofErr w:type="spellStart"/>
            <w:r w:rsidR="00553B6D" w:rsidRPr="00553B6D">
              <w:t>r.l</w:t>
            </w:r>
            <w:proofErr w:type="spellEnd"/>
            <w:r w:rsidR="00553B6D" w:rsidRPr="00553B6D">
              <w:t xml:space="preserve">. as ancillary borrower and ING Bank, a branch of ING-DiBa AG, as ancillary lender; and (ii) the ancillary </w:t>
            </w:r>
            <w:r w:rsidR="00553B6D">
              <w:t xml:space="preserve">facilities </w:t>
            </w:r>
            <w:r w:rsidR="00553B6D" w:rsidRPr="00553B6D">
              <w:t xml:space="preserve">agreement dated 12 May 2023, novated on 17 April 2024, by, among others, Beacon Finco </w:t>
            </w:r>
            <w:proofErr w:type="spellStart"/>
            <w:r w:rsidR="00553B6D" w:rsidRPr="00553B6D">
              <w:t>S.à</w:t>
            </w:r>
            <w:proofErr w:type="spellEnd"/>
            <w:r w:rsidR="00553B6D" w:rsidRPr="00553B6D">
              <w:t xml:space="preserve"> </w:t>
            </w:r>
            <w:proofErr w:type="spellStart"/>
            <w:r w:rsidR="00553B6D" w:rsidRPr="00553B6D">
              <w:t>r.l</w:t>
            </w:r>
            <w:proofErr w:type="spellEnd"/>
            <w:r w:rsidR="00553B6D" w:rsidRPr="00553B6D">
              <w:t xml:space="preserve">. as ancillary borrower and ING Bank, a branch of ING-DiBa AG, as ancillary lender, each of which has been </w:t>
            </w:r>
            <w:r w:rsidR="00553B6D">
              <w:t xml:space="preserve">amended </w:t>
            </w:r>
            <w:r w:rsidR="00553B6D" w:rsidRPr="00553B6D">
              <w:t>and restated with effect from the Closing Date</w:t>
            </w:r>
            <w:r w:rsidR="00553B6D">
              <w:t>, as defined in the 2025 Amendment Agreement (as defined below).</w:t>
            </w:r>
            <w:r w:rsidRPr="00BB7964">
              <w:t xml:space="preserve"> Hereinafter</w:t>
            </w:r>
            <w:r w:rsidRPr="0035388E">
              <w:t xml:space="preserve">, </w:t>
            </w:r>
            <w:r w:rsidRPr="000D3E9E">
              <w:t>the</w:t>
            </w:r>
            <w:r w:rsidRPr="00FA66CE">
              <w:t xml:space="preserve"> </w:t>
            </w:r>
            <w:r w:rsidR="00553B6D">
              <w:rPr>
                <w:b/>
                <w:bCs/>
              </w:rPr>
              <w:t>2025</w:t>
            </w:r>
            <w:r w:rsidR="00553B6D" w:rsidRPr="00FA66CE">
              <w:rPr>
                <w:b/>
                <w:bCs/>
              </w:rPr>
              <w:t xml:space="preserve"> </w:t>
            </w:r>
            <w:r w:rsidRPr="00FA66CE">
              <w:rPr>
                <w:b/>
                <w:bCs/>
              </w:rPr>
              <w:t xml:space="preserve">Amendment </w:t>
            </w:r>
            <w:r w:rsidR="00553B6D">
              <w:rPr>
                <w:b/>
                <w:bCs/>
              </w:rPr>
              <w:t xml:space="preserve">and Restatement </w:t>
            </w:r>
            <w:r w:rsidRPr="00FA66CE">
              <w:rPr>
                <w:b/>
                <w:bCs/>
              </w:rPr>
              <w:t>Agreement</w:t>
            </w:r>
            <w:r w:rsidRPr="00A60E92">
              <w:t>.</w:t>
            </w:r>
          </w:p>
        </w:tc>
      </w:tr>
      <w:tr w:rsidR="00CD0AFE" w:rsidRPr="00BF2CC1" w14:paraId="2D329CE9"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63450B8F" w14:textId="4974FF56" w:rsidR="00CD0AFE" w:rsidRPr="00553B6D" w:rsidRDefault="00CD0AFE" w:rsidP="00CD0AFE">
            <w:pPr>
              <w:pStyle w:val="AOA"/>
              <w:numPr>
                <w:ilvl w:val="0"/>
                <w:numId w:val="0"/>
              </w:numPr>
              <w:ind w:left="720"/>
              <w:rPr>
                <w:lang w:val="es-ES"/>
              </w:rPr>
            </w:pPr>
            <w:r w:rsidRPr="00553B6D">
              <w:rPr>
                <w:lang w:val="es-ES"/>
              </w:rPr>
              <w:t xml:space="preserve">El Contrato </w:t>
            </w:r>
            <w:r w:rsidR="00553B6D" w:rsidRPr="00553B6D">
              <w:rPr>
                <w:lang w:val="es-ES"/>
              </w:rPr>
              <w:t xml:space="preserve">de Novación y Refundición </w:t>
            </w:r>
            <w:r w:rsidRPr="00553B6D">
              <w:rPr>
                <w:lang w:val="es-ES" w:eastAsia="es-ES"/>
              </w:rPr>
              <w:t xml:space="preserve">2025 </w:t>
            </w:r>
            <w:r w:rsidRPr="00553B6D">
              <w:rPr>
                <w:lang w:val="es-ES"/>
              </w:rPr>
              <w:t>ha sido elevado a público parcialmente en esta misma fecha en virtud de póliza intervenida por la Notario de Barcelona, Dña. Blanca Pardo García.</w:t>
            </w:r>
          </w:p>
        </w:tc>
        <w:tc>
          <w:tcPr>
            <w:tcW w:w="2500" w:type="pct"/>
            <w:shd w:val="clear" w:color="auto" w:fill="auto"/>
          </w:tcPr>
          <w:p w14:paraId="6AD94B82" w14:textId="69C6B046" w:rsidR="00CD0AFE" w:rsidRPr="00553B6D" w:rsidRDefault="00CD0AFE" w:rsidP="00CD0AFE">
            <w:pPr>
              <w:pStyle w:val="AODocTxt"/>
              <w:numPr>
                <w:ilvl w:val="0"/>
                <w:numId w:val="0"/>
              </w:numPr>
              <w:ind w:left="720"/>
              <w:rPr>
                <w:color w:val="000000" w:themeColor="text1"/>
              </w:rPr>
            </w:pPr>
            <w:r w:rsidRPr="00553B6D">
              <w:t xml:space="preserve">The </w:t>
            </w:r>
            <w:r w:rsidR="00553B6D" w:rsidRPr="00553B6D">
              <w:t xml:space="preserve">2025 Amendment and Restatement </w:t>
            </w:r>
            <w:r w:rsidRPr="00553B6D">
              <w:t xml:space="preserve">Agreement has partially been raised to the status of public document on such same date by means of a deed intervened by the Notary of Barcelona Ms. Blanca Pardo García. </w:t>
            </w:r>
          </w:p>
        </w:tc>
      </w:tr>
      <w:tr w:rsidR="00E81EBD" w:rsidRPr="00BF2CC1" w14:paraId="637DCD0D"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7AABF5DD" w14:textId="1694F141" w:rsidR="00E81EBD" w:rsidRPr="00316E16" w:rsidRDefault="00E81EBD" w:rsidP="00E81EBD">
            <w:pPr>
              <w:pStyle w:val="AOA"/>
              <w:rPr>
                <w:lang w:val="es-ES"/>
              </w:rPr>
            </w:pPr>
            <w:r w:rsidRPr="00722CDA">
              <w:rPr>
                <w:lang w:val="es-ES"/>
              </w:rPr>
              <w:t>Que</w:t>
            </w:r>
            <w:r>
              <w:rPr>
                <w:lang w:val="es-ES"/>
              </w:rPr>
              <w:t xml:space="preserve">, el </w:t>
            </w:r>
            <w:r w:rsidR="00E40BAB">
              <w:rPr>
                <w:lang w:val="es-ES"/>
              </w:rPr>
              <w:t>[</w:t>
            </w:r>
            <w:r w:rsidR="00E40BAB">
              <w:rPr>
                <w:lang w:val="es-ES"/>
              </w:rPr>
              <w:sym w:font="Wingdings" w:char="F06C"/>
            </w:r>
            <w:r w:rsidR="00E40BAB">
              <w:rPr>
                <w:lang w:val="es-ES"/>
              </w:rPr>
              <w:t>]</w:t>
            </w:r>
            <w:r>
              <w:rPr>
                <w:lang w:val="es-ES"/>
              </w:rPr>
              <w:t xml:space="preserve"> de </w:t>
            </w:r>
            <w:r w:rsidR="00E40BAB">
              <w:rPr>
                <w:lang w:val="es-ES"/>
              </w:rPr>
              <w:t>[</w:t>
            </w:r>
            <w:r w:rsidR="00E40BAB">
              <w:rPr>
                <w:lang w:val="es-ES"/>
              </w:rPr>
              <w:sym w:font="Wingdings" w:char="F06C"/>
            </w:r>
            <w:r w:rsidR="00E40BAB">
              <w:rPr>
                <w:lang w:val="es-ES"/>
              </w:rPr>
              <w:t xml:space="preserve">] </w:t>
            </w:r>
            <w:r>
              <w:rPr>
                <w:lang w:val="es-ES"/>
              </w:rPr>
              <w:t>de 202</w:t>
            </w:r>
            <w:r w:rsidR="00E40BAB">
              <w:rPr>
                <w:lang w:val="es-ES"/>
              </w:rPr>
              <w:t>5</w:t>
            </w:r>
            <w:r>
              <w:rPr>
                <w:lang w:val="es-ES"/>
              </w:rPr>
              <w:t xml:space="preserve">, </w:t>
            </w:r>
            <w:r w:rsidRPr="00722CDA">
              <w:rPr>
                <w:lang w:val="es-ES"/>
              </w:rPr>
              <w:t xml:space="preserve">se </w:t>
            </w:r>
            <w:r>
              <w:rPr>
                <w:lang w:val="es-ES"/>
              </w:rPr>
              <w:t>suscribieron</w:t>
            </w:r>
            <w:r w:rsidRPr="00722CDA">
              <w:rPr>
                <w:lang w:val="es-ES"/>
              </w:rPr>
              <w:t xml:space="preserve"> </w:t>
            </w:r>
            <w:r>
              <w:rPr>
                <w:lang w:val="es-ES"/>
              </w:rPr>
              <w:t>los siguientes</w:t>
            </w:r>
            <w:r w:rsidRPr="00722CDA">
              <w:rPr>
                <w:lang w:val="es-ES"/>
              </w:rPr>
              <w:t xml:space="preserve"> contratos de cobertura entre </w:t>
            </w:r>
            <w:r w:rsidRPr="000D3E9E">
              <w:rPr>
                <w:lang w:val="es-ES"/>
              </w:rPr>
              <w:t xml:space="preserve">Beacon Finco </w:t>
            </w:r>
            <w:proofErr w:type="spellStart"/>
            <w:r w:rsidRPr="000D3E9E">
              <w:rPr>
                <w:lang w:val="es-ES"/>
              </w:rPr>
              <w:t>S.à</w:t>
            </w:r>
            <w:proofErr w:type="spellEnd"/>
            <w:r w:rsidRPr="000D3E9E">
              <w:rPr>
                <w:lang w:val="es-ES"/>
              </w:rPr>
              <w:t xml:space="preserve"> </w:t>
            </w:r>
            <w:proofErr w:type="spellStart"/>
            <w:r w:rsidRPr="000D3E9E">
              <w:rPr>
                <w:lang w:val="es-ES"/>
              </w:rPr>
              <w:t>r.l</w:t>
            </w:r>
            <w:proofErr w:type="spellEnd"/>
            <w:r w:rsidRPr="000D3E9E">
              <w:rPr>
                <w:lang w:val="es-ES"/>
              </w:rPr>
              <w:t>.</w:t>
            </w:r>
            <w:r>
              <w:rPr>
                <w:lang w:val="es-ES"/>
              </w:rPr>
              <w:t xml:space="preserve"> y </w:t>
            </w:r>
            <w:r w:rsidR="00E40BAB">
              <w:rPr>
                <w:lang w:val="es-ES"/>
              </w:rPr>
              <w:t>[</w:t>
            </w:r>
            <w:r w:rsidR="00E40BAB">
              <w:rPr>
                <w:lang w:val="es-ES"/>
              </w:rPr>
              <w:sym w:font="Wingdings" w:char="F06C"/>
            </w:r>
            <w:r w:rsidR="00E40BAB">
              <w:rPr>
                <w:lang w:val="es-ES"/>
              </w:rPr>
              <w:t>]</w:t>
            </w:r>
            <w:r>
              <w:rPr>
                <w:lang w:val="es-ES"/>
              </w:rPr>
              <w:t xml:space="preserve"> y </w:t>
            </w:r>
            <w:r w:rsidR="00E40BAB">
              <w:rPr>
                <w:lang w:val="es-ES"/>
              </w:rPr>
              <w:t>[</w:t>
            </w:r>
            <w:r w:rsidR="00E40BAB">
              <w:rPr>
                <w:lang w:val="es-ES"/>
              </w:rPr>
              <w:sym w:font="Wingdings" w:char="F06C"/>
            </w:r>
            <w:r w:rsidR="00E40BAB">
              <w:rPr>
                <w:lang w:val="es-ES"/>
              </w:rPr>
              <w:t>]</w:t>
            </w:r>
            <w:r>
              <w:rPr>
                <w:lang w:val="es-ES"/>
              </w:rPr>
              <w:t xml:space="preserve"> como </w:t>
            </w:r>
            <w:r>
              <w:rPr>
                <w:lang w:val="es-ES"/>
              </w:rPr>
              <w:lastRenderedPageBreak/>
              <w:t xml:space="preserve">nuevas entidades de cobertura (las </w:t>
            </w:r>
            <w:r w:rsidR="00E40BAB" w:rsidRPr="00E40BAB">
              <w:rPr>
                <w:b/>
                <w:lang w:val="es-ES"/>
              </w:rPr>
              <w:t>Nuevas</w:t>
            </w:r>
            <w:r w:rsidR="00E40BAB">
              <w:rPr>
                <w:lang w:val="es-ES"/>
              </w:rPr>
              <w:t xml:space="preserve"> </w:t>
            </w:r>
            <w:r w:rsidRPr="00722CDA">
              <w:rPr>
                <w:b/>
                <w:bCs/>
                <w:lang w:val="es-ES"/>
              </w:rPr>
              <w:t>Entidades de Cobertura</w:t>
            </w:r>
            <w:r>
              <w:rPr>
                <w:lang w:val="es-ES"/>
              </w:rPr>
              <w:t xml:space="preserve">), </w:t>
            </w:r>
            <w:r w:rsidRPr="00722CDA">
              <w:rPr>
                <w:lang w:val="es-ES"/>
              </w:rPr>
              <w:t>junto con sus anexos y todas aquellas confirmaciones que puedan llegar a firmarse al amparo de</w:t>
            </w:r>
            <w:r>
              <w:rPr>
                <w:lang w:val="es-ES"/>
              </w:rPr>
              <w:t xml:space="preserve"> </w:t>
            </w:r>
            <w:proofErr w:type="gramStart"/>
            <w:r>
              <w:rPr>
                <w:lang w:val="es-ES"/>
              </w:rPr>
              <w:t>los</w:t>
            </w:r>
            <w:r w:rsidRPr="00722CDA">
              <w:rPr>
                <w:lang w:val="es-ES"/>
              </w:rPr>
              <w:t xml:space="preserve"> mismo</w:t>
            </w:r>
            <w:r>
              <w:rPr>
                <w:lang w:val="es-ES"/>
              </w:rPr>
              <w:t>s</w:t>
            </w:r>
            <w:proofErr w:type="gramEnd"/>
            <w:r>
              <w:rPr>
                <w:lang w:val="es-ES"/>
              </w:rPr>
              <w:t>, así como los siguientes contratos de novación de Contratos de Cobertura descritos a continuación</w:t>
            </w:r>
            <w:r w:rsidRPr="00722CDA">
              <w:rPr>
                <w:lang w:val="es-ES"/>
              </w:rPr>
              <w:t xml:space="preserve"> (los </w:t>
            </w:r>
            <w:r w:rsidR="00E40BAB" w:rsidRPr="00E40BAB">
              <w:rPr>
                <w:b/>
                <w:bCs/>
                <w:lang w:val="es-ES"/>
              </w:rPr>
              <w:t>Nuevos</w:t>
            </w:r>
            <w:r w:rsidR="00E40BAB">
              <w:rPr>
                <w:lang w:val="es-ES"/>
              </w:rPr>
              <w:t xml:space="preserve"> </w:t>
            </w:r>
            <w:r w:rsidRPr="00722CDA">
              <w:rPr>
                <w:b/>
                <w:bCs/>
                <w:lang w:val="es-ES"/>
              </w:rPr>
              <w:t>Contratos de Cobertura</w:t>
            </w:r>
            <w:r w:rsidRPr="00722CDA">
              <w:rPr>
                <w:lang w:val="es-ES"/>
              </w:rPr>
              <w:t>)</w:t>
            </w:r>
            <w:r>
              <w:rPr>
                <w:lang w:val="es-ES"/>
              </w:rPr>
              <w:t>:</w:t>
            </w:r>
          </w:p>
        </w:tc>
        <w:tc>
          <w:tcPr>
            <w:tcW w:w="2500" w:type="pct"/>
            <w:shd w:val="clear" w:color="auto" w:fill="auto"/>
          </w:tcPr>
          <w:p w14:paraId="32042149" w14:textId="579BD17F" w:rsidR="00E81EBD" w:rsidRPr="005302CC" w:rsidRDefault="00E81EBD" w:rsidP="00E81EBD">
            <w:pPr>
              <w:pStyle w:val="AODocTxt"/>
              <w:numPr>
                <w:ilvl w:val="0"/>
                <w:numId w:val="39"/>
              </w:numPr>
              <w:ind w:hanging="720"/>
              <w:rPr>
                <w:color w:val="000000" w:themeColor="text1"/>
              </w:rPr>
            </w:pPr>
            <w:r w:rsidRPr="00722CDA">
              <w:lastRenderedPageBreak/>
              <w:t>That</w:t>
            </w:r>
            <w:r>
              <w:t xml:space="preserve"> on </w:t>
            </w:r>
            <w:r w:rsidR="00E40BAB" w:rsidRPr="00E40BAB">
              <w:t>[</w:t>
            </w:r>
            <w:r w:rsidR="00E40BAB">
              <w:rPr>
                <w:lang w:val="es-ES"/>
              </w:rPr>
              <w:sym w:font="Wingdings" w:char="F06C"/>
            </w:r>
            <w:r w:rsidR="00E40BAB" w:rsidRPr="00E40BAB">
              <w:t>][</w:t>
            </w:r>
            <w:r w:rsidR="00E40BAB">
              <w:rPr>
                <w:lang w:val="es-ES"/>
              </w:rPr>
              <w:sym w:font="Wingdings" w:char="F06C"/>
            </w:r>
            <w:r w:rsidR="00E40BAB" w:rsidRPr="00E40BAB">
              <w:t xml:space="preserve">] </w:t>
            </w:r>
            <w:r w:rsidR="00E40BAB">
              <w:t>2025</w:t>
            </w:r>
            <w:r>
              <w:t xml:space="preserve">, </w:t>
            </w:r>
            <w:r w:rsidRPr="00722CDA">
              <w:t xml:space="preserve">the following English hedging agreements </w:t>
            </w:r>
            <w:r>
              <w:t>was</w:t>
            </w:r>
            <w:r w:rsidRPr="00722CDA">
              <w:t xml:space="preserve"> entered into by </w:t>
            </w:r>
            <w:r w:rsidRPr="00182BE5">
              <w:t xml:space="preserve">Beacon Finco </w:t>
            </w:r>
            <w:proofErr w:type="spellStart"/>
            <w:r w:rsidRPr="00182BE5">
              <w:t>S.à</w:t>
            </w:r>
            <w:proofErr w:type="spellEnd"/>
            <w:r w:rsidRPr="00182BE5">
              <w:t xml:space="preserve"> </w:t>
            </w:r>
            <w:proofErr w:type="spellStart"/>
            <w:r w:rsidRPr="00182BE5">
              <w:t>r.l</w:t>
            </w:r>
            <w:proofErr w:type="spellEnd"/>
            <w:r>
              <w:t xml:space="preserve"> and </w:t>
            </w:r>
            <w:r w:rsidR="00E40BAB" w:rsidRPr="00E40BAB">
              <w:t>[</w:t>
            </w:r>
            <w:r w:rsidR="00E40BAB">
              <w:rPr>
                <w:lang w:val="es-ES"/>
              </w:rPr>
              <w:sym w:font="Wingdings" w:char="F06C"/>
            </w:r>
            <w:r w:rsidR="00E40BAB" w:rsidRPr="00E40BAB">
              <w:t>]</w:t>
            </w:r>
            <w:r w:rsidR="00E40BAB">
              <w:t xml:space="preserve"> </w:t>
            </w:r>
            <w:r w:rsidRPr="00195BC9">
              <w:t xml:space="preserve">and </w:t>
            </w:r>
            <w:r w:rsidR="00E40BAB" w:rsidRPr="00E40BAB">
              <w:t>[</w:t>
            </w:r>
            <w:r w:rsidR="00E40BAB">
              <w:rPr>
                <w:lang w:val="es-ES"/>
              </w:rPr>
              <w:sym w:font="Wingdings" w:char="F06C"/>
            </w:r>
            <w:r w:rsidR="00E40BAB" w:rsidRPr="00E40BAB">
              <w:t>]</w:t>
            </w:r>
            <w:r w:rsidR="00E40BAB">
              <w:t xml:space="preserve"> </w:t>
            </w:r>
            <w:r>
              <w:t xml:space="preserve">as new </w:t>
            </w:r>
            <w:r>
              <w:lastRenderedPageBreak/>
              <w:t>hedge counterparties (</w:t>
            </w:r>
            <w:r w:rsidRPr="00722CDA">
              <w:t xml:space="preserve">the </w:t>
            </w:r>
            <w:r w:rsidR="00E40BAB">
              <w:rPr>
                <w:b/>
                <w:bCs/>
              </w:rPr>
              <w:t>New</w:t>
            </w:r>
            <w:r w:rsidRPr="00FA66CE">
              <w:rPr>
                <w:b/>
                <w:bCs/>
              </w:rPr>
              <w:t xml:space="preserve"> Hedging Counterparties</w:t>
            </w:r>
            <w:r w:rsidRPr="00722CDA">
              <w:t xml:space="preserve">), jointly with </w:t>
            </w:r>
            <w:r>
              <w:t>their</w:t>
            </w:r>
            <w:r w:rsidRPr="00722CDA">
              <w:t xml:space="preserve"> annexes and all the confirmations which may be executed with regards to </w:t>
            </w:r>
            <w:r>
              <w:t>their</w:t>
            </w:r>
            <w:r w:rsidRPr="00722CDA">
              <w:t xml:space="preserve"> from time to time</w:t>
            </w:r>
            <w:r>
              <w:t>, as well as the following novation agreements to the Hedging Agreements will be executed</w:t>
            </w:r>
            <w:r w:rsidRPr="00722CDA">
              <w:t xml:space="preserve"> (the </w:t>
            </w:r>
            <w:r w:rsidR="00E40BAB" w:rsidRPr="00E40BAB">
              <w:rPr>
                <w:b/>
              </w:rPr>
              <w:t>New</w:t>
            </w:r>
            <w:r w:rsidR="00E40BAB">
              <w:t xml:space="preserve"> </w:t>
            </w:r>
            <w:r w:rsidRPr="00FA66CE">
              <w:rPr>
                <w:b/>
                <w:bCs/>
              </w:rPr>
              <w:t>Hedging Agreements</w:t>
            </w:r>
            <w:r w:rsidRPr="00722CDA">
              <w:t>):</w:t>
            </w:r>
          </w:p>
        </w:tc>
      </w:tr>
      <w:tr w:rsidR="00E81EBD" w:rsidRPr="00BF2CC1" w14:paraId="205F5BF5"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26DDCFE2" w14:textId="52AA766E" w:rsidR="00E81EBD" w:rsidRPr="00E40BAB" w:rsidRDefault="00E81EBD" w:rsidP="00553B6D">
            <w:pPr>
              <w:pStyle w:val="AOHead3"/>
              <w:numPr>
                <w:ilvl w:val="2"/>
                <w:numId w:val="64"/>
              </w:numPr>
              <w:rPr>
                <w:lang w:val="es-ES"/>
              </w:rPr>
            </w:pPr>
            <w:r w:rsidRPr="00E40BAB">
              <w:rPr>
                <w:lang w:val="es-ES"/>
              </w:rPr>
              <w:lastRenderedPageBreak/>
              <w:t>un contrato marco ISDA sujeto a derecho inglés (</w:t>
            </w:r>
            <w:r w:rsidRPr="00E40BAB">
              <w:rPr>
                <w:i/>
                <w:iCs/>
                <w:lang w:val="es-ES"/>
              </w:rPr>
              <w:t xml:space="preserve">ISDA </w:t>
            </w:r>
            <w:proofErr w:type="gramStart"/>
            <w:r w:rsidRPr="00E40BAB">
              <w:rPr>
                <w:i/>
                <w:iCs/>
                <w:lang w:val="es-ES"/>
              </w:rPr>
              <w:t>Master</w:t>
            </w:r>
            <w:proofErr w:type="gramEnd"/>
            <w:r w:rsidRPr="00E40BAB">
              <w:rPr>
                <w:i/>
                <w:iCs/>
                <w:lang w:val="es-ES"/>
              </w:rPr>
              <w:t xml:space="preserve"> </w:t>
            </w:r>
            <w:proofErr w:type="spellStart"/>
            <w:r w:rsidRPr="00E40BAB">
              <w:rPr>
                <w:i/>
                <w:iCs/>
                <w:lang w:val="es-ES"/>
              </w:rPr>
              <w:t>Agreement</w:t>
            </w:r>
            <w:proofErr w:type="spellEnd"/>
            <w:r w:rsidRPr="00E40BAB">
              <w:rPr>
                <w:lang w:val="es-ES"/>
              </w:rPr>
              <w:t xml:space="preserve">) (tal y como este término se define en el MDA) suscrito el </w:t>
            </w:r>
            <w:r w:rsidR="00E40BAB" w:rsidRPr="00E40BAB">
              <w:rPr>
                <w:lang w:val="es-ES"/>
              </w:rPr>
              <w:t>[</w:t>
            </w:r>
            <w:r w:rsidR="00E40BAB">
              <w:rPr>
                <w:lang w:val="es-ES"/>
              </w:rPr>
              <w:sym w:font="Wingdings" w:char="F06C"/>
            </w:r>
            <w:r w:rsidR="00E40BAB" w:rsidRPr="00E40BAB">
              <w:rPr>
                <w:lang w:val="es-ES"/>
              </w:rPr>
              <w:t xml:space="preserve">] </w:t>
            </w:r>
            <w:r w:rsidRPr="00E40BAB">
              <w:rPr>
                <w:lang w:val="es-ES"/>
              </w:rPr>
              <w:t xml:space="preserve">de </w:t>
            </w:r>
            <w:r w:rsidR="00E40BAB" w:rsidRPr="00E40BAB">
              <w:rPr>
                <w:lang w:val="es-ES"/>
              </w:rPr>
              <w:t>[</w:t>
            </w:r>
            <w:r w:rsidR="00E40BAB">
              <w:rPr>
                <w:lang w:val="es-ES"/>
              </w:rPr>
              <w:sym w:font="Wingdings" w:char="F06C"/>
            </w:r>
            <w:r w:rsidR="00E40BAB" w:rsidRPr="00E40BAB">
              <w:rPr>
                <w:lang w:val="es-ES"/>
              </w:rPr>
              <w:t xml:space="preserve">] </w:t>
            </w:r>
            <w:r w:rsidRPr="00E40BAB">
              <w:rPr>
                <w:lang w:val="es-ES"/>
              </w:rPr>
              <w:t>de 202</w:t>
            </w:r>
            <w:r w:rsidR="00E40BAB">
              <w:rPr>
                <w:lang w:val="es-ES"/>
              </w:rPr>
              <w:t>5</w:t>
            </w:r>
            <w:r w:rsidRPr="00E40BAB">
              <w:rPr>
                <w:lang w:val="es-ES"/>
              </w:rPr>
              <w:t xml:space="preserve"> por, entre otros, Beacon Finco </w:t>
            </w:r>
            <w:proofErr w:type="spellStart"/>
            <w:r w:rsidRPr="00E40BAB">
              <w:rPr>
                <w:lang w:val="es-ES"/>
              </w:rPr>
              <w:t>S.à</w:t>
            </w:r>
            <w:proofErr w:type="spellEnd"/>
            <w:r w:rsidRPr="00E40BAB">
              <w:rPr>
                <w:lang w:val="es-ES"/>
              </w:rPr>
              <w:t xml:space="preserve"> </w:t>
            </w:r>
            <w:proofErr w:type="spellStart"/>
            <w:r w:rsidRPr="00E40BAB">
              <w:rPr>
                <w:lang w:val="es-ES"/>
              </w:rPr>
              <w:t>r.l</w:t>
            </w:r>
            <w:proofErr w:type="spellEnd"/>
            <w:r w:rsidRPr="00E40BAB">
              <w:rPr>
                <w:lang w:val="es-ES"/>
              </w:rPr>
              <w:t xml:space="preserve">. y </w:t>
            </w:r>
            <w:r w:rsidR="00E40BAB" w:rsidRPr="00E40BAB">
              <w:rPr>
                <w:lang w:val="es-ES"/>
              </w:rPr>
              <w:t>[</w:t>
            </w:r>
            <w:r w:rsidR="00E40BAB">
              <w:rPr>
                <w:lang w:val="es-ES"/>
              </w:rPr>
              <w:sym w:font="Wingdings" w:char="F06C"/>
            </w:r>
            <w:r w:rsidR="00E40BAB" w:rsidRPr="00E40BAB">
              <w:rPr>
                <w:lang w:val="es-ES"/>
              </w:rPr>
              <w:t>]</w:t>
            </w:r>
            <w:r w:rsidRPr="00E40BAB">
              <w:rPr>
                <w:lang w:val="es-ES"/>
              </w:rPr>
              <w:t>, y el Anexo relacionado a dicho contrato marco ISDA;</w:t>
            </w:r>
            <w:r w:rsidR="00E40BAB">
              <w:rPr>
                <w:lang w:val="es-ES"/>
              </w:rPr>
              <w:t xml:space="preserve"> y</w:t>
            </w:r>
          </w:p>
        </w:tc>
        <w:tc>
          <w:tcPr>
            <w:tcW w:w="2500" w:type="pct"/>
            <w:shd w:val="clear" w:color="auto" w:fill="auto"/>
          </w:tcPr>
          <w:p w14:paraId="267CE4B9" w14:textId="522EFBAD" w:rsidR="00E81EBD" w:rsidRPr="00E40BAB" w:rsidRDefault="00E81EBD" w:rsidP="00553B6D">
            <w:pPr>
              <w:pStyle w:val="AOHead3"/>
              <w:numPr>
                <w:ilvl w:val="2"/>
                <w:numId w:val="65"/>
              </w:numPr>
            </w:pPr>
            <w:r w:rsidRPr="00E40BAB">
              <w:t xml:space="preserve">an English law governed ISDA Master Agreement (as defined in the MDA) </w:t>
            </w:r>
            <w:proofErr w:type="gramStart"/>
            <w:r w:rsidRPr="00E40BAB">
              <w:t>entered into</w:t>
            </w:r>
            <w:proofErr w:type="gramEnd"/>
            <w:r w:rsidRPr="00E40BAB">
              <w:t xml:space="preserve"> on </w:t>
            </w:r>
            <w:r w:rsidR="00E40BAB" w:rsidRPr="00E40BAB">
              <w:t>[</w:t>
            </w:r>
            <w:r w:rsidR="00E40BAB">
              <w:rPr>
                <w:lang w:val="es-ES"/>
              </w:rPr>
              <w:sym w:font="Wingdings" w:char="F06C"/>
            </w:r>
            <w:r w:rsidR="00E40BAB" w:rsidRPr="00E40BAB">
              <w:t>][</w:t>
            </w:r>
            <w:r w:rsidR="00E40BAB">
              <w:rPr>
                <w:lang w:val="es-ES"/>
              </w:rPr>
              <w:sym w:font="Wingdings" w:char="F06C"/>
            </w:r>
            <w:r w:rsidR="00E40BAB" w:rsidRPr="00E40BAB">
              <w:t>]</w:t>
            </w:r>
            <w:r w:rsidR="00E40BAB">
              <w:t xml:space="preserve"> </w:t>
            </w:r>
            <w:r w:rsidRPr="00E40BAB">
              <w:t>202</w:t>
            </w:r>
            <w:r w:rsidR="00E40BAB">
              <w:t>5</w:t>
            </w:r>
            <w:r w:rsidRPr="00E40BAB">
              <w:t xml:space="preserve"> between, inter alios, Beacon Finco </w:t>
            </w:r>
            <w:proofErr w:type="spellStart"/>
            <w:r w:rsidRPr="00E40BAB">
              <w:t>S.à</w:t>
            </w:r>
            <w:proofErr w:type="spellEnd"/>
            <w:r w:rsidRPr="00E40BAB">
              <w:t xml:space="preserve"> </w:t>
            </w:r>
            <w:proofErr w:type="spellStart"/>
            <w:r w:rsidRPr="00E40BAB">
              <w:t>r.l</w:t>
            </w:r>
            <w:proofErr w:type="spellEnd"/>
            <w:r w:rsidRPr="00E40BAB">
              <w:t xml:space="preserve">. and </w:t>
            </w:r>
            <w:r w:rsidR="00E40BAB" w:rsidRPr="00E40BAB">
              <w:t>[</w:t>
            </w:r>
            <w:r w:rsidR="00E40BAB">
              <w:rPr>
                <w:lang w:val="es-ES"/>
              </w:rPr>
              <w:sym w:font="Wingdings" w:char="F06C"/>
            </w:r>
            <w:r w:rsidR="00E40BAB" w:rsidRPr="00E40BAB">
              <w:t>]</w:t>
            </w:r>
            <w:r w:rsidRPr="00E40BAB">
              <w:t>, and the related Schedule to the ISDA Master Agreement;</w:t>
            </w:r>
            <w:r w:rsidR="00E40BAB">
              <w:t xml:space="preserve"> and</w:t>
            </w:r>
          </w:p>
        </w:tc>
      </w:tr>
      <w:tr w:rsidR="00E40BAB" w:rsidRPr="00BF2CC1" w14:paraId="75FBF80B"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5E73D717" w14:textId="1A6BD0E3" w:rsidR="00E40BAB" w:rsidRPr="00C851BF" w:rsidRDefault="00E40BAB" w:rsidP="00E40BAB">
            <w:pPr>
              <w:pStyle w:val="AOHead3"/>
              <w:rPr>
                <w:lang w:val="es-ES"/>
              </w:rPr>
            </w:pPr>
            <w:r w:rsidRPr="00E40BAB">
              <w:rPr>
                <w:lang w:val="es-ES"/>
              </w:rPr>
              <w:t>un contrato marco ISDA sujeto a derecho inglés (</w:t>
            </w:r>
            <w:r w:rsidRPr="00E40BAB">
              <w:rPr>
                <w:i/>
                <w:iCs/>
                <w:lang w:val="es-ES"/>
              </w:rPr>
              <w:t xml:space="preserve">ISDA </w:t>
            </w:r>
            <w:proofErr w:type="gramStart"/>
            <w:r w:rsidRPr="00E40BAB">
              <w:rPr>
                <w:i/>
                <w:iCs/>
                <w:lang w:val="es-ES"/>
              </w:rPr>
              <w:t>Master</w:t>
            </w:r>
            <w:proofErr w:type="gramEnd"/>
            <w:r w:rsidRPr="00E40BAB">
              <w:rPr>
                <w:i/>
                <w:iCs/>
                <w:lang w:val="es-ES"/>
              </w:rPr>
              <w:t xml:space="preserve"> </w:t>
            </w:r>
            <w:proofErr w:type="spellStart"/>
            <w:r w:rsidRPr="00E40BAB">
              <w:rPr>
                <w:i/>
                <w:iCs/>
                <w:lang w:val="es-ES"/>
              </w:rPr>
              <w:t>Agreement</w:t>
            </w:r>
            <w:proofErr w:type="spellEnd"/>
            <w:r w:rsidRPr="00E40BAB">
              <w:rPr>
                <w:lang w:val="es-ES"/>
              </w:rPr>
              <w:t>) (tal y como este término se define en el MDA) suscrito el [</w:t>
            </w:r>
            <w:r>
              <w:rPr>
                <w:lang w:val="es-ES"/>
              </w:rPr>
              <w:sym w:font="Wingdings" w:char="F06C"/>
            </w:r>
            <w:r w:rsidRPr="00E40BAB">
              <w:rPr>
                <w:lang w:val="es-ES"/>
              </w:rPr>
              <w:t>] de [</w:t>
            </w:r>
            <w:r>
              <w:rPr>
                <w:lang w:val="es-ES"/>
              </w:rPr>
              <w:sym w:font="Wingdings" w:char="F06C"/>
            </w:r>
            <w:r w:rsidRPr="00E40BAB">
              <w:rPr>
                <w:lang w:val="es-ES"/>
              </w:rPr>
              <w:t>] de 202</w:t>
            </w:r>
            <w:r>
              <w:rPr>
                <w:lang w:val="es-ES"/>
              </w:rPr>
              <w:t>5</w:t>
            </w:r>
            <w:r w:rsidRPr="00E40BAB">
              <w:rPr>
                <w:lang w:val="es-ES"/>
              </w:rPr>
              <w:t xml:space="preserve"> por, entre otros, Beacon Finco </w:t>
            </w:r>
            <w:proofErr w:type="spellStart"/>
            <w:r w:rsidRPr="00E40BAB">
              <w:rPr>
                <w:lang w:val="es-ES"/>
              </w:rPr>
              <w:t>S.à</w:t>
            </w:r>
            <w:proofErr w:type="spellEnd"/>
            <w:r w:rsidRPr="00E40BAB">
              <w:rPr>
                <w:lang w:val="es-ES"/>
              </w:rPr>
              <w:t xml:space="preserve"> </w:t>
            </w:r>
            <w:proofErr w:type="spellStart"/>
            <w:r w:rsidRPr="00E40BAB">
              <w:rPr>
                <w:lang w:val="es-ES"/>
              </w:rPr>
              <w:t>r.l</w:t>
            </w:r>
            <w:proofErr w:type="spellEnd"/>
            <w:r w:rsidRPr="00E40BAB">
              <w:rPr>
                <w:lang w:val="es-ES"/>
              </w:rPr>
              <w:t>. y [</w:t>
            </w:r>
            <w:r>
              <w:rPr>
                <w:lang w:val="es-ES"/>
              </w:rPr>
              <w:sym w:font="Wingdings" w:char="F06C"/>
            </w:r>
            <w:r w:rsidRPr="00E40BAB">
              <w:rPr>
                <w:lang w:val="es-ES"/>
              </w:rPr>
              <w:t>], y el Anexo relacionado a dicho contrato marco ISDA</w:t>
            </w:r>
            <w:r>
              <w:rPr>
                <w:lang w:val="es-ES"/>
              </w:rPr>
              <w:t>.</w:t>
            </w:r>
          </w:p>
        </w:tc>
        <w:tc>
          <w:tcPr>
            <w:tcW w:w="2500" w:type="pct"/>
            <w:shd w:val="clear" w:color="auto" w:fill="auto"/>
          </w:tcPr>
          <w:p w14:paraId="1D0F7B5A" w14:textId="377C73F6" w:rsidR="00E40BAB" w:rsidRPr="00E40BAB" w:rsidRDefault="00E40BAB" w:rsidP="00553B6D">
            <w:pPr>
              <w:pStyle w:val="AOHead3"/>
              <w:numPr>
                <w:ilvl w:val="2"/>
                <w:numId w:val="66"/>
              </w:numPr>
            </w:pPr>
            <w:r w:rsidRPr="00E40BAB">
              <w:t xml:space="preserve">an English law governed ISDA Master Agreement (as defined in the MDA) </w:t>
            </w:r>
            <w:proofErr w:type="gramStart"/>
            <w:r w:rsidRPr="00E40BAB">
              <w:t>entered into</w:t>
            </w:r>
            <w:proofErr w:type="gramEnd"/>
            <w:r w:rsidRPr="00E40BAB">
              <w:t xml:space="preserve"> on [</w:t>
            </w:r>
            <w:r>
              <w:rPr>
                <w:lang w:val="es-ES"/>
              </w:rPr>
              <w:sym w:font="Wingdings" w:char="F06C"/>
            </w:r>
            <w:r w:rsidRPr="00E40BAB">
              <w:t>][</w:t>
            </w:r>
            <w:r>
              <w:rPr>
                <w:lang w:val="es-ES"/>
              </w:rPr>
              <w:sym w:font="Wingdings" w:char="F06C"/>
            </w:r>
            <w:r w:rsidRPr="00E40BAB">
              <w:t>]</w:t>
            </w:r>
            <w:r>
              <w:t xml:space="preserve"> </w:t>
            </w:r>
            <w:r w:rsidRPr="00E40BAB">
              <w:t>202</w:t>
            </w:r>
            <w:r>
              <w:t>5</w:t>
            </w:r>
            <w:r w:rsidRPr="00E40BAB">
              <w:t xml:space="preserve"> between, inter alios, Beacon Finco </w:t>
            </w:r>
            <w:proofErr w:type="spellStart"/>
            <w:r w:rsidRPr="00E40BAB">
              <w:t>S.à</w:t>
            </w:r>
            <w:proofErr w:type="spellEnd"/>
            <w:r w:rsidRPr="00E40BAB">
              <w:t xml:space="preserve"> </w:t>
            </w:r>
            <w:proofErr w:type="spellStart"/>
            <w:r w:rsidRPr="00E40BAB">
              <w:t>r.l</w:t>
            </w:r>
            <w:proofErr w:type="spellEnd"/>
            <w:r w:rsidRPr="00E40BAB">
              <w:t>. and [</w:t>
            </w:r>
            <w:r>
              <w:rPr>
                <w:lang w:val="es-ES"/>
              </w:rPr>
              <w:sym w:font="Wingdings" w:char="F06C"/>
            </w:r>
            <w:r w:rsidRPr="00E40BAB">
              <w:t>], and the related Schedule to the ISDA Master Agreement</w:t>
            </w:r>
            <w:r>
              <w:t>.</w:t>
            </w:r>
          </w:p>
        </w:tc>
      </w:tr>
      <w:tr w:rsidR="000D089E" w:rsidRPr="00BF2CC1" w14:paraId="5DAFAF36" w14:textId="77777777" w:rsidTr="00F47A3C">
        <w:tblPrEx>
          <w:jc w:val="left"/>
          <w:tblCellMar>
            <w:left w:w="115" w:type="dxa"/>
            <w:right w:w="115" w:type="dxa"/>
          </w:tblCellMar>
          <w:tblLook w:val="04A0" w:firstRow="1" w:lastRow="0" w:firstColumn="1" w:lastColumn="0" w:noHBand="0" w:noVBand="1"/>
        </w:tblPrEx>
        <w:trPr>
          <w:trHeight w:val="56"/>
        </w:trPr>
        <w:tc>
          <w:tcPr>
            <w:tcW w:w="2500" w:type="pct"/>
            <w:shd w:val="clear" w:color="auto" w:fill="auto"/>
          </w:tcPr>
          <w:p w14:paraId="3A4A0FC4" w14:textId="24E21626" w:rsidR="000D089E" w:rsidRPr="00666671" w:rsidRDefault="000D089E" w:rsidP="000D089E">
            <w:pPr>
              <w:pStyle w:val="AODocTxtL1"/>
              <w:rPr>
                <w:lang w:val="es-ES"/>
              </w:rPr>
            </w:pPr>
            <w:r w:rsidRPr="00666671">
              <w:rPr>
                <w:lang w:val="es-ES"/>
              </w:rPr>
              <w:t xml:space="preserve">En adelante, los Documentos Garantizados Originales junto con el </w:t>
            </w:r>
            <w:r w:rsidRPr="00666671">
              <w:rPr>
                <w:lang w:val="es-ES" w:eastAsia="es-ES"/>
              </w:rPr>
              <w:t>C</w:t>
            </w:r>
            <w:proofErr w:type="spellStart"/>
            <w:r w:rsidRPr="00666671">
              <w:rPr>
                <w:lang w:val="es" w:eastAsia="es-ES"/>
              </w:rPr>
              <w:t>ontrato</w:t>
            </w:r>
            <w:proofErr w:type="spellEnd"/>
            <w:r w:rsidRPr="00666671">
              <w:rPr>
                <w:lang w:val="es" w:eastAsia="es-ES"/>
              </w:rPr>
              <w:t xml:space="preserve"> de Liquidez 2023, el </w:t>
            </w:r>
            <w:r w:rsidRPr="00666671">
              <w:rPr>
                <w:lang w:val="es-ES"/>
              </w:rPr>
              <w:t>Contrato de Crédito Autorizado 2024</w:t>
            </w:r>
            <w:r w:rsidRPr="00A60E92">
              <w:rPr>
                <w:lang w:val="es-ES"/>
              </w:rPr>
              <w:t>, el</w:t>
            </w:r>
            <w:r w:rsidRPr="00A60E92">
              <w:rPr>
                <w:lang w:val="es" w:eastAsia="es-ES"/>
              </w:rPr>
              <w:t xml:space="preserve"> </w:t>
            </w:r>
            <w:r w:rsidRPr="00A60E92">
              <w:rPr>
                <w:lang w:val="es-ES"/>
              </w:rPr>
              <w:t>Contrato de Crédito MRF 2024</w:t>
            </w:r>
            <w:r>
              <w:rPr>
                <w:lang w:val="es-ES"/>
              </w:rPr>
              <w:t>,</w:t>
            </w:r>
            <w:r w:rsidRPr="00A60E92">
              <w:rPr>
                <w:lang w:val="es-ES"/>
              </w:rPr>
              <w:t xml:space="preserve"> </w:t>
            </w:r>
            <w:r>
              <w:rPr>
                <w:lang w:val="es-ES"/>
              </w:rPr>
              <w:t xml:space="preserve">el </w:t>
            </w:r>
            <w:r w:rsidRPr="005465BE">
              <w:rPr>
                <w:lang w:val="es-ES"/>
              </w:rPr>
              <w:t xml:space="preserve">Contrato de Novación del </w:t>
            </w:r>
            <w:r w:rsidRPr="005465BE">
              <w:rPr>
                <w:lang w:val="es-ES" w:eastAsia="es-ES"/>
              </w:rPr>
              <w:t>Contrato de Liquidez 2023</w:t>
            </w:r>
            <w:r>
              <w:rPr>
                <w:lang w:val="es-ES"/>
              </w:rPr>
              <w:t>, los Contratos de Cobertura</w:t>
            </w:r>
            <w:r w:rsidR="00E40BAB">
              <w:rPr>
                <w:lang w:val="es-ES"/>
              </w:rPr>
              <w:t xml:space="preserve"> 2024</w:t>
            </w:r>
            <w:r>
              <w:rPr>
                <w:lang w:val="es-ES"/>
              </w:rPr>
              <w:t xml:space="preserve">, la Carta de Novación 2024, </w:t>
            </w:r>
            <w:r w:rsidRPr="009747AC">
              <w:rPr>
                <w:lang w:val="es-ES"/>
              </w:rPr>
              <w:t>la Carta de Novación del ACF</w:t>
            </w:r>
            <w:r>
              <w:rPr>
                <w:lang w:val="es-ES"/>
              </w:rPr>
              <w:t xml:space="preserve">, el </w:t>
            </w:r>
            <w:r w:rsidRPr="00316E16">
              <w:rPr>
                <w:lang w:val="es-ES"/>
              </w:rPr>
              <w:t>Contrato de Crédito Autorizado 2025, el Contrato de</w:t>
            </w:r>
            <w:r w:rsidRPr="00602517">
              <w:rPr>
                <w:lang w:val="es-ES"/>
              </w:rPr>
              <w:t xml:space="preserve"> </w:t>
            </w:r>
            <w:r w:rsidRPr="00316E16">
              <w:rPr>
                <w:lang w:val="es-ES"/>
              </w:rPr>
              <w:t xml:space="preserve">Compra de Instrumentos de </w:t>
            </w:r>
            <w:r w:rsidRPr="00553B6D">
              <w:rPr>
                <w:lang w:val="es-ES"/>
              </w:rPr>
              <w:t>Deuda PP 2025</w:t>
            </w:r>
            <w:r w:rsidR="00E40BAB" w:rsidRPr="00553B6D">
              <w:rPr>
                <w:lang w:val="es-ES"/>
              </w:rPr>
              <w:t xml:space="preserve">, </w:t>
            </w:r>
            <w:r w:rsidRPr="00553B6D">
              <w:rPr>
                <w:lang w:val="es-ES"/>
              </w:rPr>
              <w:t>la Propuesta STID 2025</w:t>
            </w:r>
            <w:r w:rsidR="00FD3228" w:rsidRPr="00553B6D">
              <w:rPr>
                <w:lang w:val="es-ES"/>
              </w:rPr>
              <w:t xml:space="preserve">, </w:t>
            </w:r>
            <w:r w:rsidR="005A3DDC">
              <w:rPr>
                <w:lang w:val="es-ES"/>
              </w:rPr>
              <w:t xml:space="preserve">el </w:t>
            </w:r>
            <w:r w:rsidR="00553B6D" w:rsidRPr="00553B6D">
              <w:rPr>
                <w:lang w:val="es-ES"/>
              </w:rPr>
              <w:t xml:space="preserve">Contrato de Novación y Refundición </w:t>
            </w:r>
            <w:r w:rsidR="00553B6D" w:rsidRPr="00553B6D">
              <w:rPr>
                <w:lang w:val="es-ES" w:eastAsia="es-ES"/>
              </w:rPr>
              <w:t xml:space="preserve">2025 </w:t>
            </w:r>
            <w:r w:rsidR="00E40BAB" w:rsidRPr="00553B6D">
              <w:rPr>
                <w:lang w:val="es-ES"/>
              </w:rPr>
              <w:t>y los Nuevos</w:t>
            </w:r>
            <w:r w:rsidR="00E40BAB">
              <w:rPr>
                <w:lang w:val="es-ES"/>
              </w:rPr>
              <w:t xml:space="preserve"> Contratos de Cobertura</w:t>
            </w:r>
            <w:r w:rsidRPr="00316E16">
              <w:rPr>
                <w:lang w:val="es-ES"/>
              </w:rPr>
              <w:t>,</w:t>
            </w:r>
            <w:r>
              <w:rPr>
                <w:b/>
                <w:bCs/>
                <w:lang w:val="es-ES"/>
              </w:rPr>
              <w:t xml:space="preserve"> </w:t>
            </w:r>
            <w:r w:rsidRPr="00666671">
              <w:rPr>
                <w:lang w:val="es-ES"/>
              </w:rPr>
              <w:t xml:space="preserve">se denominarán de forma conjunta como </w:t>
            </w:r>
            <w:r w:rsidRPr="00602517">
              <w:rPr>
                <w:b/>
                <w:lang w:val="es-ES"/>
              </w:rPr>
              <w:t>Documentos Garantizados</w:t>
            </w:r>
            <w:r w:rsidRPr="00602517">
              <w:rPr>
                <w:lang w:val="es-ES"/>
              </w:rPr>
              <w:t xml:space="preserve"> y c</w:t>
            </w:r>
            <w:r w:rsidRPr="00666671">
              <w:rPr>
                <w:lang w:val="es-ES"/>
              </w:rPr>
              <w:t xml:space="preserve">ada uno de ellos de forma individual un </w:t>
            </w:r>
            <w:r w:rsidRPr="00666671">
              <w:rPr>
                <w:b/>
                <w:lang w:val="es-ES"/>
              </w:rPr>
              <w:t>Documento Garantizado</w:t>
            </w:r>
            <w:r w:rsidRPr="00666671">
              <w:rPr>
                <w:lang w:val="es-ES"/>
              </w:rPr>
              <w:t>.</w:t>
            </w:r>
          </w:p>
        </w:tc>
        <w:tc>
          <w:tcPr>
            <w:tcW w:w="2500" w:type="pct"/>
            <w:shd w:val="clear" w:color="auto" w:fill="auto"/>
          </w:tcPr>
          <w:p w14:paraId="464B9C15" w14:textId="62CDC63A" w:rsidR="000D089E" w:rsidRPr="00666671" w:rsidRDefault="000D089E" w:rsidP="000D089E">
            <w:pPr>
              <w:pStyle w:val="AODocTxtL1"/>
            </w:pPr>
            <w:r w:rsidRPr="00666671">
              <w:t>Hereinafter, the</w:t>
            </w:r>
            <w:r w:rsidRPr="00666671">
              <w:rPr>
                <w:bCs/>
              </w:rPr>
              <w:t xml:space="preserve"> </w:t>
            </w:r>
            <w:r w:rsidRPr="00666671">
              <w:t xml:space="preserve">Original Secured Documents along with the 2023 Liquidity Facility Agreement, the </w:t>
            </w:r>
            <w:r w:rsidRPr="00666671">
              <w:rPr>
                <w:lang w:eastAsia="es-ES"/>
              </w:rPr>
              <w:t xml:space="preserve">2024 </w:t>
            </w:r>
            <w:r w:rsidRPr="00666671">
              <w:t>Authorised Credit Facilities</w:t>
            </w:r>
            <w:r w:rsidRPr="00666671">
              <w:rPr>
                <w:lang w:eastAsia="en-GB" w:bidi="en-GB"/>
              </w:rPr>
              <w:t xml:space="preserve"> Ag</w:t>
            </w:r>
            <w:r w:rsidRPr="00A60E92">
              <w:rPr>
                <w:lang w:eastAsia="en-GB" w:bidi="en-GB"/>
              </w:rPr>
              <w:t xml:space="preserve">reement, the </w:t>
            </w:r>
            <w:r w:rsidRPr="00A60E92">
              <w:t>2024 Maintenance Reserve Facility Agreement</w:t>
            </w:r>
            <w:r>
              <w:t>,</w:t>
            </w:r>
            <w:r w:rsidRPr="00A60E92">
              <w:t xml:space="preserve"> </w:t>
            </w:r>
            <w:r w:rsidRPr="005465BE">
              <w:t>the Amendment to the 2023 Liquidity Facility Agreement</w:t>
            </w:r>
            <w:r>
              <w:t xml:space="preserve">, </w:t>
            </w:r>
            <w:r w:rsidRPr="005465BE">
              <w:t xml:space="preserve">the </w:t>
            </w:r>
            <w:r w:rsidR="00E40BAB">
              <w:t xml:space="preserve">2024 </w:t>
            </w:r>
            <w:r w:rsidRPr="005465BE">
              <w:t>Hedging Agreement</w:t>
            </w:r>
            <w:r>
              <w:t xml:space="preserve">s, the 2024 Amendment Letter, </w:t>
            </w:r>
            <w:r w:rsidRPr="009747AC">
              <w:t>the ACF Amendment Request Letter</w:t>
            </w:r>
            <w:r w:rsidRPr="005465BE">
              <w:t xml:space="preserve">, </w:t>
            </w:r>
            <w:r w:rsidRPr="00602517">
              <w:t xml:space="preserve">the </w:t>
            </w:r>
            <w:r w:rsidRPr="00316E16">
              <w:rPr>
                <w:lang w:eastAsia="es-ES"/>
              </w:rPr>
              <w:t xml:space="preserve">2025 </w:t>
            </w:r>
            <w:r w:rsidRPr="00316E16">
              <w:t>Authorised Credit Facilities</w:t>
            </w:r>
            <w:r w:rsidRPr="00316E16">
              <w:rPr>
                <w:lang w:eastAsia="en-GB" w:bidi="en-GB"/>
              </w:rPr>
              <w:t xml:space="preserve"> Agreement, </w:t>
            </w:r>
            <w:r w:rsidRPr="00316E16">
              <w:t xml:space="preserve">2025 PP Debt Note Purchase </w:t>
            </w:r>
            <w:r w:rsidRPr="00553B6D">
              <w:t>Agreement</w:t>
            </w:r>
            <w:r w:rsidR="00E40BAB" w:rsidRPr="00553B6D">
              <w:t xml:space="preserve">, </w:t>
            </w:r>
            <w:r w:rsidRPr="00553B6D">
              <w:t>the 2025 STID Proposal</w:t>
            </w:r>
            <w:r w:rsidR="00FD3228" w:rsidRPr="00553B6D">
              <w:t xml:space="preserve">, the </w:t>
            </w:r>
            <w:r w:rsidR="00553B6D" w:rsidRPr="00553B6D">
              <w:t>2025 Amendment and Restatement Agreement</w:t>
            </w:r>
            <w:r w:rsidR="00553B6D" w:rsidRPr="00FD3228">
              <w:t xml:space="preserve"> </w:t>
            </w:r>
            <w:r w:rsidR="00E40BAB" w:rsidRPr="00FD3228">
              <w:t xml:space="preserve">and the New Hedging </w:t>
            </w:r>
            <w:r w:rsidR="00E40BAB">
              <w:t>Agreements</w:t>
            </w:r>
            <w:r w:rsidRPr="00316E16">
              <w:t xml:space="preserve">, </w:t>
            </w:r>
            <w:r w:rsidRPr="00602517">
              <w:t>shall</w:t>
            </w:r>
            <w:r w:rsidRPr="005465BE">
              <w:t xml:space="preserve"> be jointly referred</w:t>
            </w:r>
            <w:r w:rsidRPr="00666671">
              <w:t xml:space="preserve"> to as the </w:t>
            </w:r>
            <w:r w:rsidRPr="00666671">
              <w:rPr>
                <w:b/>
              </w:rPr>
              <w:t>Secured Documents</w:t>
            </w:r>
            <w:r w:rsidRPr="00666671">
              <w:t xml:space="preserve"> and each one of them individually, a </w:t>
            </w:r>
            <w:r w:rsidRPr="00666671">
              <w:rPr>
                <w:b/>
              </w:rPr>
              <w:t>Secured Document</w:t>
            </w:r>
            <w:r w:rsidRPr="00666671">
              <w:t>.</w:t>
            </w:r>
          </w:p>
        </w:tc>
      </w:tr>
      <w:tr w:rsidR="000D089E" w:rsidRPr="00954395" w14:paraId="0160FF16"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37E1A5CD" w14:textId="278B3E9B" w:rsidR="000D089E" w:rsidRPr="00C705A9" w:rsidRDefault="000D089E" w:rsidP="000D089E">
            <w:pPr>
              <w:pStyle w:val="AOA"/>
              <w:widowControl w:val="0"/>
              <w:rPr>
                <w:lang w:val="es-ES"/>
              </w:rPr>
            </w:pPr>
            <w:r w:rsidRPr="00C91FA4">
              <w:rPr>
                <w:u w:color="0000FF"/>
                <w:lang w:val="es-ES"/>
              </w:rPr>
              <w:t xml:space="preserve">Que, como consecuencia de la suscripción </w:t>
            </w:r>
            <w:r>
              <w:rPr>
                <w:u w:color="0000FF"/>
                <w:lang w:val="es-ES"/>
              </w:rPr>
              <w:t>de</w:t>
            </w:r>
            <w:r w:rsidRPr="00666671">
              <w:rPr>
                <w:u w:color="0000FF"/>
                <w:lang w:val="es-ES"/>
              </w:rPr>
              <w:t xml:space="preserve">l </w:t>
            </w:r>
            <w:r w:rsidRPr="00216294">
              <w:rPr>
                <w:lang w:val="es-ES"/>
              </w:rPr>
              <w:t>Contrato de Crédito Autorizado 2025, el Contrato de</w:t>
            </w:r>
            <w:r w:rsidRPr="00602517">
              <w:rPr>
                <w:lang w:val="es-ES"/>
              </w:rPr>
              <w:t xml:space="preserve"> </w:t>
            </w:r>
            <w:r w:rsidRPr="00216294">
              <w:rPr>
                <w:lang w:val="es-ES"/>
              </w:rPr>
              <w:t>Compra de Instrumentos de Deuda PP 2025</w:t>
            </w:r>
            <w:r w:rsidR="00CD7F22">
              <w:rPr>
                <w:lang w:val="es-ES"/>
              </w:rPr>
              <w:t>,</w:t>
            </w:r>
            <w:r w:rsidRPr="00216294">
              <w:rPr>
                <w:lang w:val="es-ES"/>
              </w:rPr>
              <w:t xml:space="preserve"> la Propuesta STID 2025</w:t>
            </w:r>
            <w:r w:rsidR="00CD7F22">
              <w:rPr>
                <w:lang w:val="es-ES"/>
              </w:rPr>
              <w:t xml:space="preserve">, </w:t>
            </w:r>
            <w:r w:rsidR="00CD7F22">
              <w:rPr>
                <w:lang w:val="es-ES"/>
              </w:rPr>
              <w:t xml:space="preserve">el </w:t>
            </w:r>
            <w:r w:rsidR="00CD7F22" w:rsidRPr="00553B6D">
              <w:rPr>
                <w:lang w:val="es-ES"/>
              </w:rPr>
              <w:t xml:space="preserve">Contrato de Novación y Refundición </w:t>
            </w:r>
            <w:r w:rsidR="00CD7F22" w:rsidRPr="00553B6D">
              <w:rPr>
                <w:lang w:val="es-ES" w:eastAsia="es-ES"/>
              </w:rPr>
              <w:t xml:space="preserve">2025 </w:t>
            </w:r>
            <w:r w:rsidR="00CD7F22" w:rsidRPr="00553B6D">
              <w:rPr>
                <w:lang w:val="es-ES"/>
              </w:rPr>
              <w:t>y los Nuevos</w:t>
            </w:r>
            <w:r w:rsidR="00CD7F22">
              <w:rPr>
                <w:lang w:val="es-ES"/>
              </w:rPr>
              <w:t xml:space="preserve"> Contratos de Cobertura</w:t>
            </w:r>
            <w:r>
              <w:rPr>
                <w:u w:color="0000FF"/>
                <w:lang w:val="es-ES"/>
              </w:rPr>
              <w:t xml:space="preserve"> </w:t>
            </w:r>
            <w:r w:rsidRPr="00C705A9">
              <w:rPr>
                <w:lang w:val="es-ES"/>
              </w:rPr>
              <w:t xml:space="preserve">y de conformidad con lo previsto en las Pólizas de Prenda y en los Documentos Garantizados, los </w:t>
            </w:r>
            <w:proofErr w:type="spellStart"/>
            <w:r w:rsidRPr="00C705A9">
              <w:rPr>
                <w:lang w:val="es-ES"/>
              </w:rPr>
              <w:t>Pignorantes</w:t>
            </w:r>
            <w:proofErr w:type="spellEnd"/>
            <w:r w:rsidRPr="00C705A9">
              <w:rPr>
                <w:lang w:val="es-ES"/>
              </w:rPr>
              <w:t xml:space="preserve">, según </w:t>
            </w:r>
            <w:r w:rsidRPr="00C705A9">
              <w:rPr>
                <w:lang w:val="es-ES"/>
              </w:rPr>
              <w:lastRenderedPageBreak/>
              <w:t xml:space="preserve">corresponda, deben extender y ratificar las Prendas a los efectos de que las mismas (i) se extiendan en garantía del </w:t>
            </w:r>
            <w:r w:rsidRPr="00216294">
              <w:rPr>
                <w:lang w:val="es-ES"/>
              </w:rPr>
              <w:t>Contrato de Crédito Autorizado 2025, el Contrato de</w:t>
            </w:r>
            <w:r w:rsidRPr="00602517">
              <w:rPr>
                <w:lang w:val="es-ES"/>
              </w:rPr>
              <w:t xml:space="preserve"> </w:t>
            </w:r>
            <w:r w:rsidRPr="00216294">
              <w:rPr>
                <w:lang w:val="es-ES"/>
              </w:rPr>
              <w:t>Compra de Instrumentos de Deuda PP 2025</w:t>
            </w:r>
            <w:r w:rsidR="005A3DDC">
              <w:rPr>
                <w:lang w:val="es-ES"/>
              </w:rPr>
              <w:t xml:space="preserve">, </w:t>
            </w:r>
            <w:r w:rsidRPr="00216294">
              <w:rPr>
                <w:lang w:val="es-ES"/>
              </w:rPr>
              <w:t>la Propuesta STID 2025</w:t>
            </w:r>
            <w:r w:rsidR="005A3DDC">
              <w:rPr>
                <w:lang w:val="es-ES"/>
              </w:rPr>
              <w:t xml:space="preserve">, el </w:t>
            </w:r>
            <w:r w:rsidR="005A3DDC" w:rsidRPr="00553B6D">
              <w:rPr>
                <w:lang w:val="es-ES"/>
              </w:rPr>
              <w:t xml:space="preserve">Contrato de Novación y Refundición </w:t>
            </w:r>
            <w:r w:rsidR="005A3DDC" w:rsidRPr="00553B6D">
              <w:rPr>
                <w:lang w:val="es-ES" w:eastAsia="es-ES"/>
              </w:rPr>
              <w:t xml:space="preserve">2025 </w:t>
            </w:r>
            <w:r w:rsidR="005A3DDC" w:rsidRPr="00553B6D">
              <w:rPr>
                <w:lang w:val="es-ES"/>
              </w:rPr>
              <w:t>y los Nuevos</w:t>
            </w:r>
            <w:r w:rsidR="005A3DDC">
              <w:rPr>
                <w:lang w:val="es-ES"/>
              </w:rPr>
              <w:t xml:space="preserve"> Contratos de Cobertura</w:t>
            </w:r>
            <w:r w:rsidRPr="005465BE">
              <w:rPr>
                <w:lang w:val="es-ES"/>
              </w:rPr>
              <w:t>;</w:t>
            </w:r>
            <w:r w:rsidRPr="00C705A9">
              <w:rPr>
                <w:lang w:val="es-ES"/>
              </w:rPr>
              <w:t xml:space="preserve"> (</w:t>
            </w:r>
            <w:proofErr w:type="spellStart"/>
            <w:r w:rsidRPr="00C705A9">
              <w:rPr>
                <w:lang w:val="es-ES"/>
              </w:rPr>
              <w:t>ii</w:t>
            </w:r>
            <w:proofErr w:type="spellEnd"/>
            <w:r w:rsidRPr="00C705A9">
              <w:rPr>
                <w:lang w:val="es-ES"/>
              </w:rPr>
              <w:t>) se extiendan a las Entidades Financiadoras ACF 202</w:t>
            </w:r>
            <w:r>
              <w:rPr>
                <w:lang w:val="es-ES"/>
              </w:rPr>
              <w:t>5</w:t>
            </w:r>
            <w:r w:rsidR="00D513C2">
              <w:rPr>
                <w:lang w:val="es-ES"/>
              </w:rPr>
              <w:t>,</w:t>
            </w:r>
            <w:r>
              <w:rPr>
                <w:lang w:val="es-ES"/>
              </w:rPr>
              <w:t xml:space="preserve"> las </w:t>
            </w:r>
            <w:r w:rsidR="00453D6A">
              <w:rPr>
                <w:lang w:val="es-ES"/>
              </w:rPr>
              <w:t xml:space="preserve">Nuevas </w:t>
            </w:r>
            <w:r w:rsidRPr="00316E16">
              <w:rPr>
                <w:lang w:val="es-ES"/>
              </w:rPr>
              <w:t>Compradoras de Bonos 2025</w:t>
            </w:r>
            <w:r w:rsidR="00D513C2">
              <w:rPr>
                <w:lang w:val="es-ES"/>
              </w:rPr>
              <w:t xml:space="preserve"> y las Nuevas Entidades de Cobertura</w:t>
            </w:r>
            <w:r w:rsidRPr="00C705A9">
              <w:rPr>
                <w:lang w:val="es-ES"/>
              </w:rPr>
              <w:t>; y (</w:t>
            </w:r>
            <w:proofErr w:type="spellStart"/>
            <w:r w:rsidRPr="00C705A9">
              <w:rPr>
                <w:lang w:val="es-ES"/>
              </w:rPr>
              <w:t>iii</w:t>
            </w:r>
            <w:proofErr w:type="spellEnd"/>
            <w:r w:rsidRPr="00C705A9">
              <w:rPr>
                <w:lang w:val="es-ES"/>
              </w:rPr>
              <w:t>) continúen garantizando las Obligaciones Garantizadas tal y como las mismas se encuentren vigentes en cada momento a favor de la totalidad de las Partes Garantizadas.</w:t>
            </w:r>
          </w:p>
        </w:tc>
        <w:tc>
          <w:tcPr>
            <w:tcW w:w="2500" w:type="pct"/>
            <w:shd w:val="clear" w:color="auto" w:fill="auto"/>
          </w:tcPr>
          <w:p w14:paraId="66A274A0" w14:textId="3C6950A4" w:rsidR="000D089E" w:rsidRPr="000A1047" w:rsidRDefault="000D089E" w:rsidP="005302CC">
            <w:pPr>
              <w:pStyle w:val="AODocTxt"/>
              <w:numPr>
                <w:ilvl w:val="0"/>
                <w:numId w:val="39"/>
              </w:numPr>
              <w:ind w:hanging="720"/>
              <w:rPr>
                <w:rFonts w:eastAsia="Times New Roman"/>
              </w:rPr>
            </w:pPr>
            <w:r w:rsidRPr="005302CC">
              <w:rPr>
                <w:color w:val="000000" w:themeColor="text1"/>
              </w:rPr>
              <w:lastRenderedPageBreak/>
              <w:t xml:space="preserve">That as a result of the subscription of the </w:t>
            </w:r>
            <w:proofErr w:type="spellStart"/>
            <w:r w:rsidRPr="005302CC">
              <w:rPr>
                <w:color w:val="000000" w:themeColor="text1"/>
              </w:rPr>
              <w:t>the</w:t>
            </w:r>
            <w:proofErr w:type="spellEnd"/>
            <w:r w:rsidRPr="005302CC">
              <w:rPr>
                <w:color w:val="000000" w:themeColor="text1"/>
              </w:rPr>
              <w:t xml:space="preserve"> 2025 Authorised Credit Facilities Agreement, 2025 PP Debt Note Purchase Agreement</w:t>
            </w:r>
            <w:r w:rsidR="00CD7F22">
              <w:rPr>
                <w:color w:val="000000" w:themeColor="text1"/>
              </w:rPr>
              <w:t xml:space="preserve">, </w:t>
            </w:r>
            <w:r w:rsidRPr="005302CC">
              <w:rPr>
                <w:color w:val="000000" w:themeColor="text1"/>
              </w:rPr>
              <w:t>the 2025 STID Proposal</w:t>
            </w:r>
            <w:r w:rsidR="00CD7F22">
              <w:rPr>
                <w:color w:val="000000" w:themeColor="text1"/>
              </w:rPr>
              <w:t>,</w:t>
            </w:r>
            <w:r w:rsidRPr="005302CC" w:rsidDel="0042023B">
              <w:rPr>
                <w:color w:val="000000" w:themeColor="text1"/>
              </w:rPr>
              <w:t xml:space="preserve"> </w:t>
            </w:r>
            <w:r w:rsidR="00CD7F22" w:rsidRPr="00553B6D">
              <w:t>the 2025 Amendment and Restatement Agreement</w:t>
            </w:r>
            <w:r w:rsidR="00CD7F22" w:rsidRPr="00FD3228">
              <w:t xml:space="preserve"> and the New Hedging </w:t>
            </w:r>
            <w:r w:rsidR="00CD7F22">
              <w:t>Agreements</w:t>
            </w:r>
            <w:r w:rsidR="00CD7F22" w:rsidRPr="005302CC">
              <w:rPr>
                <w:color w:val="000000" w:themeColor="text1"/>
              </w:rPr>
              <w:t xml:space="preserve"> </w:t>
            </w:r>
            <w:r w:rsidRPr="005302CC">
              <w:rPr>
                <w:color w:val="000000" w:themeColor="text1"/>
              </w:rPr>
              <w:t xml:space="preserve">and in accordance with the provisions of the Deeds of Pledge and the Secured Documents, the Pledgors, as </w:t>
            </w:r>
            <w:r w:rsidRPr="005302CC">
              <w:rPr>
                <w:color w:val="000000" w:themeColor="text1"/>
              </w:rPr>
              <w:lastRenderedPageBreak/>
              <w:t>applicable, must extend and ratify the Pledges to the effect that the Pledges (i) are extended to secure the 2025 Authorised Credit Facilities Agreement, 2025 PP Debt Note Purchase Agreement</w:t>
            </w:r>
            <w:r w:rsidR="005A3DDC">
              <w:rPr>
                <w:color w:val="000000" w:themeColor="text1"/>
              </w:rPr>
              <w:t xml:space="preserve">, </w:t>
            </w:r>
            <w:r w:rsidRPr="005302CC">
              <w:rPr>
                <w:color w:val="000000" w:themeColor="text1"/>
              </w:rPr>
              <w:t>the 2025 STID Proposal</w:t>
            </w:r>
            <w:r w:rsidR="005A3DDC">
              <w:rPr>
                <w:color w:val="000000" w:themeColor="text1"/>
              </w:rPr>
              <w:t xml:space="preserve">, </w:t>
            </w:r>
            <w:r w:rsidR="005A3DDC" w:rsidRPr="00553B6D">
              <w:t>the 2025 Amendment and Restatement Agreement</w:t>
            </w:r>
            <w:r w:rsidR="005A3DDC" w:rsidRPr="00FD3228">
              <w:t xml:space="preserve"> and the New Hedging </w:t>
            </w:r>
            <w:r w:rsidR="005A3DDC">
              <w:t>Agreements</w:t>
            </w:r>
            <w:r w:rsidRPr="005302CC">
              <w:rPr>
                <w:color w:val="000000" w:themeColor="text1"/>
              </w:rPr>
              <w:t>; (ii) are extended to the ACF Lenders 2025</w:t>
            </w:r>
            <w:r w:rsidR="00D513C2">
              <w:rPr>
                <w:color w:val="000000" w:themeColor="text1"/>
              </w:rPr>
              <w:t xml:space="preserve">, </w:t>
            </w:r>
            <w:r w:rsidRPr="005302CC">
              <w:rPr>
                <w:color w:val="000000" w:themeColor="text1"/>
              </w:rPr>
              <w:t>the N</w:t>
            </w:r>
            <w:r w:rsidR="00453D6A">
              <w:rPr>
                <w:color w:val="000000" w:themeColor="text1"/>
              </w:rPr>
              <w:t>ew N</w:t>
            </w:r>
            <w:r w:rsidRPr="005302CC">
              <w:rPr>
                <w:color w:val="000000" w:themeColor="text1"/>
              </w:rPr>
              <w:t>ote Purchasers 2025</w:t>
            </w:r>
            <w:r w:rsidR="00D513C2">
              <w:rPr>
                <w:color w:val="000000" w:themeColor="text1"/>
              </w:rPr>
              <w:t xml:space="preserve"> and the New Hedging Counterparties</w:t>
            </w:r>
            <w:r w:rsidRPr="005302CC">
              <w:rPr>
                <w:color w:val="000000" w:themeColor="text1"/>
              </w:rPr>
              <w:t>; and (iii) continue to secure the Secured Obligations as the same are in effect from time to time in favour of all the Secured Parties.</w:t>
            </w:r>
          </w:p>
        </w:tc>
      </w:tr>
      <w:tr w:rsidR="00CD7F22" w:rsidRPr="00954395" w14:paraId="4CB1DA30" w14:textId="77777777" w:rsidTr="00F47A3C">
        <w:tblPrEx>
          <w:jc w:val="left"/>
          <w:tblCellMar>
            <w:left w:w="115" w:type="dxa"/>
            <w:right w:w="115" w:type="dxa"/>
          </w:tblCellMar>
          <w:tblLook w:val="04A0" w:firstRow="1" w:lastRow="0" w:firstColumn="1" w:lastColumn="0" w:noHBand="0" w:noVBand="1"/>
        </w:tblPrEx>
        <w:tc>
          <w:tcPr>
            <w:tcW w:w="2500" w:type="pct"/>
            <w:shd w:val="clear" w:color="auto" w:fill="auto"/>
          </w:tcPr>
          <w:p w14:paraId="0126A41F" w14:textId="1875786E" w:rsidR="00CD7F22" w:rsidRPr="00C91FA4" w:rsidRDefault="00CD7F22" w:rsidP="00CD7F22">
            <w:pPr>
              <w:pStyle w:val="AOA"/>
              <w:widowControl w:val="0"/>
              <w:rPr>
                <w:u w:color="0000FF"/>
                <w:lang w:val="es-ES"/>
              </w:rPr>
            </w:pPr>
            <w:r>
              <w:rPr>
                <w:lang w:val="es-ES"/>
              </w:rPr>
              <w:lastRenderedPageBreak/>
              <w:t xml:space="preserve">En consideración a lo anteriormente expuesto, con objeto de dar cumplimiento a los compromisos asumidos por los </w:t>
            </w:r>
            <w:proofErr w:type="spellStart"/>
            <w:r>
              <w:rPr>
                <w:lang w:val="es-ES"/>
              </w:rPr>
              <w:t>Pignorantes</w:t>
            </w:r>
            <w:proofErr w:type="spellEnd"/>
            <w:r>
              <w:rPr>
                <w:lang w:val="es-ES"/>
              </w:rPr>
              <w:t xml:space="preserve">, según corresponda, las Partes otorgan la presente póliza de novación, extensión y ratificación de prendas (en adelante, la </w:t>
            </w:r>
            <w:r>
              <w:rPr>
                <w:b/>
                <w:lang w:val="es-ES"/>
              </w:rPr>
              <w:t>Póliza</w:t>
            </w:r>
            <w:r>
              <w:rPr>
                <w:lang w:val="es-ES"/>
              </w:rPr>
              <w:t>), de conformidad con las siguientes</w:t>
            </w:r>
          </w:p>
        </w:tc>
        <w:tc>
          <w:tcPr>
            <w:tcW w:w="2500" w:type="pct"/>
            <w:shd w:val="clear" w:color="auto" w:fill="auto"/>
          </w:tcPr>
          <w:p w14:paraId="4272E46C" w14:textId="3FB8A308" w:rsidR="00CD7F22" w:rsidRPr="000A1047" w:rsidRDefault="00CD7F22" w:rsidP="00CD7F22">
            <w:pPr>
              <w:pStyle w:val="AODocTxt"/>
              <w:numPr>
                <w:ilvl w:val="0"/>
                <w:numId w:val="39"/>
              </w:numPr>
              <w:ind w:hanging="720"/>
              <w:rPr>
                <w:u w:color="0000FF"/>
              </w:rPr>
            </w:pPr>
            <w:r>
              <w:t xml:space="preserve">In consideration of the foregoing, </w:t>
            </w:r>
            <w:proofErr w:type="gramStart"/>
            <w:r>
              <w:t>in order to</w:t>
            </w:r>
            <w:proofErr w:type="gramEnd"/>
            <w:r>
              <w:t xml:space="preserve"> comply with the commitments undertaken by the Pledgors, as applicable, the Parties execute this deed of amendment, extension and ratification of pledges (hereinafter, the </w:t>
            </w:r>
            <w:r w:rsidRPr="000A1047">
              <w:rPr>
                <w:b/>
              </w:rPr>
              <w:t>Deed</w:t>
            </w:r>
            <w:r>
              <w:t>), in accordance with the following</w:t>
            </w:r>
          </w:p>
        </w:tc>
      </w:tr>
      <w:tr w:rsidR="000D089E" w14:paraId="1EBE8DAE" w14:textId="77777777" w:rsidTr="00F47A3C">
        <w:trPr>
          <w:trHeight w:val="81"/>
          <w:jc w:val="center"/>
        </w:trPr>
        <w:tc>
          <w:tcPr>
            <w:tcW w:w="2500" w:type="pct"/>
          </w:tcPr>
          <w:p w14:paraId="5E0C3196" w14:textId="77777777" w:rsidR="000D089E" w:rsidRPr="00376353" w:rsidRDefault="000D089E" w:rsidP="000D089E">
            <w:pPr>
              <w:pStyle w:val="AOTitle"/>
              <w:widowControl w:val="0"/>
              <w:rPr>
                <w:lang w:val="en-US"/>
              </w:rPr>
            </w:pPr>
            <w:bookmarkStart w:id="52" w:name="bmkOSAQCTable39390935"/>
            <w:r w:rsidRPr="00376353">
              <w:rPr>
                <w:lang w:val="en-US"/>
              </w:rPr>
              <w:t>CLÁUSULAS</w:t>
            </w:r>
          </w:p>
        </w:tc>
        <w:tc>
          <w:tcPr>
            <w:tcW w:w="2500" w:type="pct"/>
          </w:tcPr>
          <w:p w14:paraId="14D732A5" w14:textId="77777777" w:rsidR="000D089E" w:rsidRPr="00376353" w:rsidRDefault="000D089E" w:rsidP="000D089E">
            <w:pPr>
              <w:pStyle w:val="AOTitle"/>
              <w:widowControl w:val="0"/>
            </w:pPr>
            <w:r w:rsidRPr="00376353">
              <w:t>CLAUSES</w:t>
            </w:r>
          </w:p>
        </w:tc>
      </w:tr>
      <w:tr w:rsidR="000D089E" w14:paraId="7AA20E54" w14:textId="77777777" w:rsidTr="00F47A3C">
        <w:trPr>
          <w:trHeight w:val="81"/>
          <w:jc w:val="center"/>
        </w:trPr>
        <w:tc>
          <w:tcPr>
            <w:tcW w:w="2500" w:type="pct"/>
          </w:tcPr>
          <w:p w14:paraId="0F4E065C" w14:textId="77777777" w:rsidR="000D089E" w:rsidRPr="00A3256E" w:rsidRDefault="000D089E" w:rsidP="000D089E">
            <w:pPr>
              <w:pStyle w:val="AOHead1"/>
              <w:keepNext w:val="0"/>
              <w:widowControl w:val="0"/>
              <w:numPr>
                <w:ilvl w:val="0"/>
                <w:numId w:val="31"/>
              </w:numPr>
              <w:rPr>
                <w:lang w:val="es-ES"/>
              </w:rPr>
            </w:pPr>
            <w:bookmarkStart w:id="53" w:name="_Ref520101461"/>
            <w:bookmarkStart w:id="54" w:name="_Toc62666625"/>
            <w:bookmarkStart w:id="55" w:name="_Toc198658669"/>
            <w:r w:rsidRPr="00A3256E">
              <w:rPr>
                <w:lang w:val="es-ES"/>
              </w:rPr>
              <w:t>Interpretación</w:t>
            </w:r>
            <w:bookmarkEnd w:id="53"/>
            <w:bookmarkEnd w:id="54"/>
            <w:bookmarkEnd w:id="55"/>
            <w:r w:rsidRPr="00A3256E">
              <w:rPr>
                <w:lang w:val="es-ES"/>
              </w:rPr>
              <w:t xml:space="preserve"> </w:t>
            </w:r>
          </w:p>
        </w:tc>
        <w:tc>
          <w:tcPr>
            <w:tcW w:w="2500" w:type="pct"/>
          </w:tcPr>
          <w:p w14:paraId="3F56A91A" w14:textId="77777777" w:rsidR="000D089E" w:rsidRPr="00A3256E" w:rsidRDefault="000D089E" w:rsidP="000D089E">
            <w:pPr>
              <w:pStyle w:val="AOGenNum1"/>
              <w:keepNext w:val="0"/>
              <w:widowControl w:val="0"/>
              <w:numPr>
                <w:ilvl w:val="0"/>
                <w:numId w:val="32"/>
              </w:numPr>
              <w:rPr>
                <w:lang w:val="en-US"/>
              </w:rPr>
            </w:pPr>
            <w:bookmarkStart w:id="56" w:name="_Ref520101492"/>
            <w:bookmarkStart w:id="57" w:name="_Toc198658698"/>
            <w:r w:rsidRPr="00A3256E">
              <w:rPr>
                <w:lang w:val="en-US"/>
              </w:rPr>
              <w:t>Interpretation</w:t>
            </w:r>
            <w:bookmarkEnd w:id="56"/>
            <w:bookmarkEnd w:id="57"/>
          </w:p>
        </w:tc>
      </w:tr>
      <w:tr w:rsidR="000D089E" w14:paraId="75870D7C" w14:textId="77777777" w:rsidTr="00F47A3C">
        <w:trPr>
          <w:trHeight w:val="81"/>
          <w:jc w:val="center"/>
        </w:trPr>
        <w:tc>
          <w:tcPr>
            <w:tcW w:w="2500" w:type="pct"/>
          </w:tcPr>
          <w:p w14:paraId="360C9C16" w14:textId="77777777" w:rsidR="000D089E" w:rsidRPr="007D0CB6" w:rsidRDefault="000D089E" w:rsidP="000D089E">
            <w:pPr>
              <w:pStyle w:val="AOHead2"/>
              <w:keepNext w:val="0"/>
              <w:widowControl w:val="0"/>
              <w:rPr>
                <w:b w:val="0"/>
                <w:lang w:val="es"/>
              </w:rPr>
            </w:pPr>
            <w:r w:rsidRPr="007D0CB6">
              <w:rPr>
                <w:b w:val="0"/>
                <w:lang w:val="es"/>
              </w:rPr>
              <w:t xml:space="preserve">Salvo que en esta Póliza se establezca lo contrario, los </w:t>
            </w:r>
            <w:r w:rsidRPr="00674C5B">
              <w:rPr>
                <w:b w:val="0"/>
                <w:lang w:val="es-ES_tradnl"/>
              </w:rPr>
              <w:t>términos</w:t>
            </w:r>
            <w:r w:rsidRPr="007D0CB6">
              <w:rPr>
                <w:b w:val="0"/>
                <w:lang w:val="es"/>
              </w:rPr>
              <w:t xml:space="preserve"> en mayúsculas tendrán el significado que a los mismos se atribuye en </w:t>
            </w:r>
            <w:r>
              <w:rPr>
                <w:b w:val="0"/>
                <w:lang w:val="es"/>
              </w:rPr>
              <w:t>los</w:t>
            </w:r>
            <w:r w:rsidRPr="007D0CB6">
              <w:rPr>
                <w:b w:val="0"/>
                <w:lang w:val="es"/>
              </w:rPr>
              <w:t xml:space="preserve"> </w:t>
            </w:r>
            <w:r>
              <w:rPr>
                <w:b w:val="0"/>
                <w:lang w:val="es"/>
              </w:rPr>
              <w:t>Documentos Garantizados</w:t>
            </w:r>
            <w:r w:rsidRPr="007D0CB6">
              <w:rPr>
                <w:b w:val="0"/>
                <w:lang w:val="es"/>
              </w:rPr>
              <w:t xml:space="preserve"> o en la</w:t>
            </w:r>
            <w:r>
              <w:rPr>
                <w:b w:val="0"/>
                <w:lang w:val="es"/>
              </w:rPr>
              <w:t xml:space="preserve">s Pólizas </w:t>
            </w:r>
            <w:r w:rsidRPr="007D0CB6">
              <w:rPr>
                <w:b w:val="0"/>
                <w:lang w:val="es"/>
              </w:rPr>
              <w:t xml:space="preserve">de Prenda, según corresponda. </w:t>
            </w:r>
          </w:p>
        </w:tc>
        <w:tc>
          <w:tcPr>
            <w:tcW w:w="2500" w:type="pct"/>
            <w:shd w:val="clear" w:color="auto" w:fill="auto"/>
          </w:tcPr>
          <w:p w14:paraId="1CCCBD4E" w14:textId="77777777" w:rsidR="000D089E" w:rsidRPr="00176BCF" w:rsidRDefault="000D089E" w:rsidP="000D089E">
            <w:pPr>
              <w:pStyle w:val="AOGenNum1Para"/>
              <w:keepNext w:val="0"/>
              <w:widowControl w:val="0"/>
              <w:rPr>
                <w:b w:val="0"/>
              </w:rPr>
            </w:pPr>
            <w:r w:rsidRPr="00011D6E">
              <w:rPr>
                <w:b w:val="0"/>
              </w:rPr>
              <w:t xml:space="preserve">Unless otherwise agreed in this Deed, capitalised terms included herein shall have the same meaning as set out in the </w:t>
            </w:r>
            <w:r>
              <w:rPr>
                <w:b w:val="0"/>
              </w:rPr>
              <w:t xml:space="preserve">Secured Documents or the Deeds of Pledge, as applicable. </w:t>
            </w:r>
          </w:p>
        </w:tc>
      </w:tr>
      <w:tr w:rsidR="000D089E" w14:paraId="10F4AD5D" w14:textId="77777777" w:rsidTr="00F47A3C">
        <w:trPr>
          <w:trHeight w:val="81"/>
          <w:jc w:val="center"/>
        </w:trPr>
        <w:tc>
          <w:tcPr>
            <w:tcW w:w="2500" w:type="pct"/>
          </w:tcPr>
          <w:p w14:paraId="591D3812" w14:textId="77777777" w:rsidR="000D089E" w:rsidRPr="000B516C" w:rsidRDefault="000D089E" w:rsidP="000D089E">
            <w:pPr>
              <w:pStyle w:val="AOAltHead2"/>
              <w:widowControl w:val="0"/>
              <w:rPr>
                <w:rFonts w:eastAsia="Times New Roman"/>
                <w:lang w:val="es"/>
              </w:rPr>
            </w:pPr>
            <w:r w:rsidRPr="000B516C">
              <w:rPr>
                <w:rFonts w:eastAsia="Times New Roman"/>
                <w:lang w:val="es"/>
              </w:rPr>
              <w:t xml:space="preserve">Las Partes hacen constar expresamente que esta Póliza no modifica los términos y condiciones establecidos en </w:t>
            </w:r>
            <w:r>
              <w:rPr>
                <w:lang w:val="es-ES"/>
              </w:rPr>
              <w:t>los Documentos Garantizados</w:t>
            </w:r>
            <w:r w:rsidRPr="000B516C">
              <w:rPr>
                <w:rFonts w:eastAsia="Times New Roman"/>
                <w:lang w:val="es"/>
              </w:rPr>
              <w:t>, que permanecerán sujetos a sus propios términos y condiciones.</w:t>
            </w:r>
          </w:p>
        </w:tc>
        <w:tc>
          <w:tcPr>
            <w:tcW w:w="2500" w:type="pct"/>
            <w:shd w:val="clear" w:color="auto" w:fill="auto"/>
          </w:tcPr>
          <w:p w14:paraId="50FCE547" w14:textId="77777777" w:rsidR="000D089E" w:rsidRPr="000B516C" w:rsidRDefault="000D089E" w:rsidP="000D089E">
            <w:pPr>
              <w:pStyle w:val="AOGenNum1Para"/>
              <w:keepNext w:val="0"/>
              <w:widowControl w:val="0"/>
              <w:tabs>
                <w:tab w:val="clear" w:pos="720"/>
                <w:tab w:val="num" w:pos="1713"/>
              </w:tabs>
              <w:rPr>
                <w:b w:val="0"/>
              </w:rPr>
            </w:pPr>
            <w:r w:rsidRPr="000B516C">
              <w:rPr>
                <w:rFonts w:eastAsia="Times New Roman"/>
                <w:b w:val="0"/>
              </w:rPr>
              <w:t xml:space="preserve">The Parties expressly state that this Deed shall not alter or affect the terms and conditions of </w:t>
            </w:r>
            <w:r w:rsidRPr="000B516C">
              <w:rPr>
                <w:b w:val="0"/>
              </w:rPr>
              <w:t xml:space="preserve">the </w:t>
            </w:r>
            <w:r>
              <w:rPr>
                <w:b w:val="0"/>
              </w:rPr>
              <w:t>Secured Documents</w:t>
            </w:r>
            <w:r w:rsidRPr="000B516C">
              <w:rPr>
                <w:rFonts w:eastAsia="Times New Roman"/>
                <w:b w:val="0"/>
              </w:rPr>
              <w:t xml:space="preserve"> that shall remain in full force and effect subject to their own terms and conditions.</w:t>
            </w:r>
          </w:p>
        </w:tc>
      </w:tr>
      <w:tr w:rsidR="000D089E" w14:paraId="22D7E152" w14:textId="77777777" w:rsidTr="00F47A3C">
        <w:trPr>
          <w:trHeight w:val="81"/>
          <w:jc w:val="center"/>
        </w:trPr>
        <w:tc>
          <w:tcPr>
            <w:tcW w:w="2500" w:type="pct"/>
          </w:tcPr>
          <w:p w14:paraId="15AB70BA" w14:textId="77777777" w:rsidR="000D089E" w:rsidRPr="007D0CB6" w:rsidRDefault="000D089E" w:rsidP="000D089E">
            <w:pPr>
              <w:pStyle w:val="AOHead2"/>
              <w:keepNext w:val="0"/>
              <w:widowControl w:val="0"/>
              <w:rPr>
                <w:b w:val="0"/>
                <w:lang w:val="es"/>
              </w:rPr>
            </w:pPr>
            <w:r w:rsidRPr="007D0CB6">
              <w:rPr>
                <w:b w:val="0"/>
                <w:lang w:val="es"/>
              </w:rPr>
              <w:t xml:space="preserve">Las Partes manifiestan conocer y aceptar los términos y </w:t>
            </w:r>
            <w:r w:rsidRPr="00674C5B">
              <w:rPr>
                <w:b w:val="0"/>
                <w:lang w:val="es-ES_tradnl"/>
              </w:rPr>
              <w:t>condiciones</w:t>
            </w:r>
            <w:r w:rsidRPr="007D0CB6">
              <w:rPr>
                <w:b w:val="0"/>
                <w:lang w:val="es"/>
              </w:rPr>
              <w:t xml:space="preserve"> de los Documentos Garantizados.</w:t>
            </w:r>
          </w:p>
        </w:tc>
        <w:tc>
          <w:tcPr>
            <w:tcW w:w="2500" w:type="pct"/>
            <w:shd w:val="clear" w:color="auto" w:fill="auto"/>
          </w:tcPr>
          <w:p w14:paraId="6D103BED" w14:textId="77777777" w:rsidR="000D089E" w:rsidRPr="00176BCF" w:rsidRDefault="000D089E" w:rsidP="000D089E">
            <w:pPr>
              <w:pStyle w:val="AOGenNum1Para"/>
              <w:keepNext w:val="0"/>
              <w:widowControl w:val="0"/>
              <w:rPr>
                <w:b w:val="0"/>
              </w:rPr>
            </w:pPr>
            <w:r w:rsidRPr="00176BCF">
              <w:rPr>
                <w:b w:val="0"/>
              </w:rPr>
              <w:t>The Parties state that they know and accept the terms and conditions of the Secured Documents.</w:t>
            </w:r>
          </w:p>
        </w:tc>
      </w:tr>
      <w:tr w:rsidR="00CD7F22" w14:paraId="35AB5D55" w14:textId="77777777" w:rsidTr="00F47A3C">
        <w:trPr>
          <w:trHeight w:val="81"/>
          <w:jc w:val="center"/>
        </w:trPr>
        <w:tc>
          <w:tcPr>
            <w:tcW w:w="2500" w:type="pct"/>
          </w:tcPr>
          <w:p w14:paraId="4EEBC1C2" w14:textId="6BD54D3A" w:rsidR="00CD7F22" w:rsidRDefault="00CD7F22" w:rsidP="00CD7F22">
            <w:pPr>
              <w:pStyle w:val="AOAltHead2"/>
              <w:widowControl w:val="0"/>
              <w:rPr>
                <w:lang w:val="es"/>
              </w:rPr>
            </w:pPr>
            <w:r>
              <w:rPr>
                <w:bCs/>
                <w:lang w:val="es"/>
              </w:rPr>
              <w:t>Las referencias que en esta Póliza</w:t>
            </w:r>
            <w:r w:rsidRPr="003D051A">
              <w:rPr>
                <w:bCs/>
                <w:lang w:val="es"/>
              </w:rPr>
              <w:t xml:space="preserve"> se efectúen a la</w:t>
            </w:r>
            <w:r>
              <w:rPr>
                <w:bCs/>
                <w:lang w:val="es"/>
              </w:rPr>
              <w:t>s</w:t>
            </w:r>
            <w:r w:rsidRPr="003D051A">
              <w:rPr>
                <w:bCs/>
                <w:lang w:val="es"/>
              </w:rPr>
              <w:t xml:space="preserve"> “</w:t>
            </w:r>
            <w:r w:rsidRPr="003D051A">
              <w:rPr>
                <w:bCs/>
                <w:i/>
                <w:lang w:val="es"/>
              </w:rPr>
              <w:t>Prenda</w:t>
            </w:r>
            <w:r>
              <w:rPr>
                <w:bCs/>
                <w:i/>
                <w:lang w:val="es"/>
              </w:rPr>
              <w:t>s</w:t>
            </w:r>
            <w:r w:rsidRPr="003D051A">
              <w:rPr>
                <w:bCs/>
                <w:lang w:val="es"/>
              </w:rPr>
              <w:t>”</w:t>
            </w:r>
            <w:r>
              <w:rPr>
                <w:bCs/>
                <w:lang w:val="es"/>
              </w:rPr>
              <w:t xml:space="preserve"> y “</w:t>
            </w:r>
            <w:r>
              <w:rPr>
                <w:bCs/>
                <w:i/>
                <w:iCs/>
                <w:lang w:val="es"/>
              </w:rPr>
              <w:t>Garantía</w:t>
            </w:r>
            <w:r>
              <w:rPr>
                <w:bCs/>
                <w:lang w:val="es"/>
              </w:rPr>
              <w:t>”</w:t>
            </w:r>
            <w:r w:rsidRPr="003D051A">
              <w:rPr>
                <w:bCs/>
                <w:lang w:val="es"/>
              </w:rPr>
              <w:t xml:space="preserve"> incluirá</w:t>
            </w:r>
            <w:r>
              <w:rPr>
                <w:bCs/>
                <w:lang w:val="es"/>
              </w:rPr>
              <w:t>n</w:t>
            </w:r>
            <w:r w:rsidRPr="003D051A">
              <w:rPr>
                <w:bCs/>
                <w:lang w:val="es"/>
              </w:rPr>
              <w:t xml:space="preserve"> la</w:t>
            </w:r>
            <w:r>
              <w:rPr>
                <w:bCs/>
                <w:lang w:val="es"/>
              </w:rPr>
              <w:t xml:space="preserve">s </w:t>
            </w:r>
            <w:r w:rsidRPr="003D051A">
              <w:rPr>
                <w:bCs/>
                <w:lang w:val="es"/>
              </w:rPr>
              <w:t>Prenda</w:t>
            </w:r>
            <w:r>
              <w:rPr>
                <w:bCs/>
                <w:lang w:val="es"/>
              </w:rPr>
              <w:t>s</w:t>
            </w:r>
            <w:r w:rsidRPr="003D051A">
              <w:rPr>
                <w:bCs/>
                <w:lang w:val="es"/>
              </w:rPr>
              <w:t xml:space="preserve"> </w:t>
            </w:r>
            <w:r>
              <w:rPr>
                <w:bCs/>
                <w:lang w:val="es"/>
              </w:rPr>
              <w:t xml:space="preserve">y la Garantía </w:t>
            </w:r>
            <w:r w:rsidRPr="003D051A">
              <w:rPr>
                <w:bCs/>
                <w:lang w:val="es"/>
              </w:rPr>
              <w:t>tal y como sea</w:t>
            </w:r>
            <w:r>
              <w:rPr>
                <w:bCs/>
                <w:lang w:val="es"/>
              </w:rPr>
              <w:t>n</w:t>
            </w:r>
            <w:r w:rsidRPr="003D051A">
              <w:rPr>
                <w:bCs/>
                <w:lang w:val="es"/>
              </w:rPr>
              <w:t xml:space="preserve"> modificada</w:t>
            </w:r>
            <w:r>
              <w:rPr>
                <w:bCs/>
                <w:lang w:val="es"/>
              </w:rPr>
              <w:t>s</w:t>
            </w:r>
            <w:r w:rsidRPr="003D051A">
              <w:rPr>
                <w:bCs/>
                <w:lang w:val="es"/>
              </w:rPr>
              <w:t>, sustituida</w:t>
            </w:r>
            <w:r>
              <w:rPr>
                <w:bCs/>
                <w:lang w:val="es"/>
              </w:rPr>
              <w:t>s</w:t>
            </w:r>
            <w:r w:rsidRPr="003D051A">
              <w:rPr>
                <w:bCs/>
                <w:lang w:val="es"/>
              </w:rPr>
              <w:t>, complementada</w:t>
            </w:r>
            <w:r>
              <w:rPr>
                <w:bCs/>
                <w:lang w:val="es"/>
              </w:rPr>
              <w:t>s</w:t>
            </w:r>
            <w:r w:rsidRPr="003D051A">
              <w:rPr>
                <w:bCs/>
                <w:lang w:val="es"/>
              </w:rPr>
              <w:t>, extendida</w:t>
            </w:r>
            <w:r>
              <w:rPr>
                <w:bCs/>
                <w:lang w:val="es"/>
              </w:rPr>
              <w:t>s, ratificadas</w:t>
            </w:r>
            <w:r w:rsidRPr="003D051A">
              <w:rPr>
                <w:bCs/>
                <w:lang w:val="es"/>
              </w:rPr>
              <w:t xml:space="preserve"> o refundida</w:t>
            </w:r>
            <w:r>
              <w:rPr>
                <w:bCs/>
                <w:lang w:val="es"/>
              </w:rPr>
              <w:t>s</w:t>
            </w:r>
            <w:r w:rsidRPr="003D051A">
              <w:rPr>
                <w:bCs/>
                <w:lang w:val="es"/>
              </w:rPr>
              <w:t xml:space="preserve"> en cada momento en el futuro.</w:t>
            </w:r>
          </w:p>
        </w:tc>
        <w:tc>
          <w:tcPr>
            <w:tcW w:w="2500" w:type="pct"/>
            <w:shd w:val="clear" w:color="auto" w:fill="auto"/>
          </w:tcPr>
          <w:p w14:paraId="45750771" w14:textId="3EB13DD3" w:rsidR="00CD7F22" w:rsidRPr="00D34D96" w:rsidRDefault="00CD7F22" w:rsidP="00CD7F22">
            <w:pPr>
              <w:pStyle w:val="AOGenNum1Para"/>
              <w:keepNext w:val="0"/>
              <w:widowControl w:val="0"/>
              <w:tabs>
                <w:tab w:val="clear" w:pos="720"/>
                <w:tab w:val="num" w:pos="1713"/>
              </w:tabs>
              <w:rPr>
                <w:rFonts w:eastAsia="Times New Roman"/>
                <w:b w:val="0"/>
              </w:rPr>
            </w:pPr>
            <w:r w:rsidRPr="00D34D96">
              <w:rPr>
                <w:rFonts w:eastAsia="Times New Roman"/>
                <w:b w:val="0"/>
              </w:rPr>
              <w:t xml:space="preserve">Any </w:t>
            </w:r>
            <w:r w:rsidRPr="00F00B3A">
              <w:rPr>
                <w:b w:val="0"/>
              </w:rPr>
              <w:t>references made in this Deed to the “</w:t>
            </w:r>
            <w:r w:rsidRPr="00F00B3A">
              <w:rPr>
                <w:b w:val="0"/>
                <w:i/>
              </w:rPr>
              <w:t>Pledg</w:t>
            </w:r>
            <w:r>
              <w:rPr>
                <w:b w:val="0"/>
                <w:i/>
              </w:rPr>
              <w:t>es</w:t>
            </w:r>
            <w:r w:rsidRPr="00F00B3A">
              <w:rPr>
                <w:b w:val="0"/>
              </w:rPr>
              <w:t xml:space="preserve">” </w:t>
            </w:r>
            <w:r>
              <w:rPr>
                <w:b w:val="0"/>
              </w:rPr>
              <w:t>and “</w:t>
            </w:r>
            <w:r>
              <w:rPr>
                <w:b w:val="0"/>
                <w:i/>
                <w:iCs/>
              </w:rPr>
              <w:t>Guarantee</w:t>
            </w:r>
            <w:r>
              <w:rPr>
                <w:b w:val="0"/>
              </w:rPr>
              <w:t xml:space="preserve">” </w:t>
            </w:r>
            <w:r w:rsidRPr="00F00B3A">
              <w:rPr>
                <w:b w:val="0"/>
              </w:rPr>
              <w:t>shall be deemed to be made to the Pledge</w:t>
            </w:r>
            <w:r>
              <w:rPr>
                <w:b w:val="0"/>
              </w:rPr>
              <w:t>s</w:t>
            </w:r>
            <w:r w:rsidRPr="00F00B3A">
              <w:rPr>
                <w:b w:val="0"/>
              </w:rPr>
              <w:t xml:space="preserve"> </w:t>
            </w:r>
            <w:r>
              <w:rPr>
                <w:b w:val="0"/>
              </w:rPr>
              <w:t xml:space="preserve">and the Guarantee </w:t>
            </w:r>
            <w:r w:rsidRPr="00F00B3A">
              <w:rPr>
                <w:b w:val="0"/>
              </w:rPr>
              <w:t>as amended, substituted, extended</w:t>
            </w:r>
            <w:r>
              <w:rPr>
                <w:b w:val="0"/>
              </w:rPr>
              <w:t>, ratified</w:t>
            </w:r>
            <w:r w:rsidRPr="00F00B3A">
              <w:rPr>
                <w:b w:val="0"/>
              </w:rPr>
              <w:t xml:space="preserve"> or restated from time to time in the future.</w:t>
            </w:r>
          </w:p>
        </w:tc>
      </w:tr>
      <w:tr w:rsidR="000D089E" w14:paraId="308B789A" w14:textId="77777777" w:rsidTr="00F47A3C">
        <w:trPr>
          <w:jc w:val="center"/>
        </w:trPr>
        <w:tc>
          <w:tcPr>
            <w:tcW w:w="2500" w:type="pct"/>
          </w:tcPr>
          <w:p w14:paraId="0A285335" w14:textId="77777777" w:rsidR="000D089E" w:rsidRPr="007D0CB6" w:rsidRDefault="000D089E" w:rsidP="000D089E">
            <w:pPr>
              <w:pStyle w:val="AOHead2"/>
              <w:widowControl w:val="0"/>
              <w:rPr>
                <w:b w:val="0"/>
                <w:lang w:val="es"/>
              </w:rPr>
            </w:pPr>
            <w:r w:rsidRPr="007D0CB6">
              <w:rPr>
                <w:b w:val="0"/>
                <w:lang w:val="es"/>
              </w:rPr>
              <w:lastRenderedPageBreak/>
              <w:t xml:space="preserve">El Agente de Garantías suscribe esta Póliza en el ejercicio de los poderes y autoridad que le han sido otorgados bajo </w:t>
            </w:r>
            <w:r>
              <w:rPr>
                <w:b w:val="0"/>
                <w:lang w:val="es"/>
              </w:rPr>
              <w:t>los Documentos Garantizados</w:t>
            </w:r>
            <w:r w:rsidRPr="007D0CB6">
              <w:rPr>
                <w:b w:val="0"/>
                <w:lang w:val="es"/>
              </w:rPr>
              <w:t xml:space="preserve">. En dicho ejercicio, el Agente de Garantías tendrá las protecciones, inmunidades, derechos, poderes, autorizaciones, indemnizaciones y beneficios que le han sido conferidos bajo </w:t>
            </w:r>
            <w:r>
              <w:rPr>
                <w:b w:val="0"/>
                <w:lang w:val="es"/>
              </w:rPr>
              <w:t>los Documentos Garantizados</w:t>
            </w:r>
            <w:r w:rsidRPr="007D0CB6">
              <w:rPr>
                <w:b w:val="0"/>
                <w:lang w:val="es"/>
              </w:rPr>
              <w:t>.</w:t>
            </w:r>
          </w:p>
        </w:tc>
        <w:tc>
          <w:tcPr>
            <w:tcW w:w="2500" w:type="pct"/>
            <w:shd w:val="clear" w:color="auto" w:fill="auto"/>
          </w:tcPr>
          <w:p w14:paraId="480CDD1D" w14:textId="77777777" w:rsidR="000D089E" w:rsidRPr="00176BCF" w:rsidRDefault="000D089E" w:rsidP="000D089E">
            <w:pPr>
              <w:pStyle w:val="AOGenNum1Para"/>
              <w:widowControl w:val="0"/>
              <w:tabs>
                <w:tab w:val="clear" w:pos="720"/>
                <w:tab w:val="num" w:pos="1713"/>
              </w:tabs>
              <w:rPr>
                <w:b w:val="0"/>
              </w:rPr>
            </w:pPr>
            <w:r w:rsidRPr="00176BCF">
              <w:rPr>
                <w:b w:val="0"/>
              </w:rPr>
              <w:t>The Security Agent execute</w:t>
            </w:r>
            <w:r>
              <w:rPr>
                <w:b w:val="0"/>
              </w:rPr>
              <w:t>s</w:t>
            </w:r>
            <w:r w:rsidRPr="00176BCF">
              <w:rPr>
                <w:b w:val="0"/>
              </w:rPr>
              <w:t xml:space="preserve"> this </w:t>
            </w:r>
            <w:r>
              <w:rPr>
                <w:b w:val="0"/>
              </w:rPr>
              <w:t>Deed</w:t>
            </w:r>
            <w:r w:rsidRPr="00176BCF">
              <w:rPr>
                <w:b w:val="0"/>
              </w:rPr>
              <w:t xml:space="preserve"> in the exercise of the powers and authority given to </w:t>
            </w:r>
            <w:r>
              <w:rPr>
                <w:b w:val="0"/>
              </w:rPr>
              <w:t>it</w:t>
            </w:r>
            <w:r w:rsidRPr="00176BCF">
              <w:rPr>
                <w:b w:val="0"/>
              </w:rPr>
              <w:t xml:space="preserve"> under the </w:t>
            </w:r>
            <w:r>
              <w:rPr>
                <w:b w:val="0"/>
              </w:rPr>
              <w:t>Secured Documents</w:t>
            </w:r>
            <w:r w:rsidRPr="00176BCF">
              <w:rPr>
                <w:b w:val="0"/>
              </w:rPr>
              <w:t xml:space="preserve">. In so acting, the Security Agent shall have the protections, immunities, rights, powers, authorisations, indemnities and benefits conferred on </w:t>
            </w:r>
            <w:r>
              <w:rPr>
                <w:b w:val="0"/>
              </w:rPr>
              <w:t>it</w:t>
            </w:r>
            <w:r w:rsidRPr="00176BCF">
              <w:rPr>
                <w:b w:val="0"/>
              </w:rPr>
              <w:t xml:space="preserve"> under and by</w:t>
            </w:r>
            <w:r>
              <w:rPr>
                <w:b w:val="0"/>
              </w:rPr>
              <w:t xml:space="preserve"> </w:t>
            </w:r>
            <w:r w:rsidRPr="00176BCF">
              <w:rPr>
                <w:b w:val="0"/>
              </w:rPr>
              <w:t>t</w:t>
            </w:r>
            <w:r>
              <w:rPr>
                <w:b w:val="0"/>
              </w:rPr>
              <w:t>he Secured Documents.</w:t>
            </w:r>
          </w:p>
        </w:tc>
      </w:tr>
      <w:tr w:rsidR="00CD7F22" w:rsidRPr="00416D36" w14:paraId="77620CF8" w14:textId="77777777" w:rsidTr="00F47A3C">
        <w:trPr>
          <w:jc w:val="center"/>
        </w:trPr>
        <w:tc>
          <w:tcPr>
            <w:tcW w:w="2500" w:type="pct"/>
          </w:tcPr>
          <w:p w14:paraId="719E8854" w14:textId="75EA2490" w:rsidR="00CD7F22" w:rsidRPr="007D0CB6" w:rsidRDefault="00CD7F22" w:rsidP="00CD7F22">
            <w:pPr>
              <w:pStyle w:val="AOHead2"/>
              <w:keepNext w:val="0"/>
              <w:widowControl w:val="0"/>
              <w:rPr>
                <w:b w:val="0"/>
                <w:lang w:val="es"/>
              </w:rPr>
            </w:pPr>
            <w:r>
              <w:rPr>
                <w:b w:val="0"/>
                <w:lang w:val="es"/>
              </w:rPr>
              <w:t xml:space="preserve">Los </w:t>
            </w:r>
            <w:proofErr w:type="spellStart"/>
            <w:r>
              <w:rPr>
                <w:b w:val="0"/>
                <w:lang w:val="es"/>
              </w:rPr>
              <w:t>Pignorantes</w:t>
            </w:r>
            <w:proofErr w:type="spellEnd"/>
            <w:r>
              <w:rPr>
                <w:b w:val="0"/>
                <w:lang w:val="es"/>
              </w:rPr>
              <w:t xml:space="preserve"> suscriben la presente Póliza de novación, extensión y ratificación en relación con las Prendas y la Garantía por ellos otorgadas, según corresponda. </w:t>
            </w:r>
          </w:p>
        </w:tc>
        <w:tc>
          <w:tcPr>
            <w:tcW w:w="2500" w:type="pct"/>
            <w:shd w:val="clear" w:color="auto" w:fill="auto"/>
          </w:tcPr>
          <w:p w14:paraId="69E0FD4B" w14:textId="66911C02" w:rsidR="00CD7F22" w:rsidRPr="00416D36" w:rsidRDefault="00CD7F22" w:rsidP="00CD7F22">
            <w:pPr>
              <w:pStyle w:val="AOGenNum1Para"/>
              <w:keepNext w:val="0"/>
              <w:widowControl w:val="0"/>
              <w:rPr>
                <w:b w:val="0"/>
              </w:rPr>
            </w:pPr>
            <w:r>
              <w:rPr>
                <w:b w:val="0"/>
              </w:rPr>
              <w:t xml:space="preserve">The </w:t>
            </w:r>
            <w:r w:rsidRPr="00416D36">
              <w:rPr>
                <w:b w:val="0"/>
              </w:rPr>
              <w:t>Pledgor</w:t>
            </w:r>
            <w:r>
              <w:rPr>
                <w:b w:val="0"/>
              </w:rPr>
              <w:t>s</w:t>
            </w:r>
            <w:r w:rsidRPr="00416D36">
              <w:rPr>
                <w:b w:val="0"/>
              </w:rPr>
              <w:t xml:space="preserve"> </w:t>
            </w:r>
            <w:proofErr w:type="gramStart"/>
            <w:r w:rsidRPr="00416D36">
              <w:rPr>
                <w:b w:val="0"/>
              </w:rPr>
              <w:t>ent</w:t>
            </w:r>
            <w:r>
              <w:rPr>
                <w:b w:val="0"/>
              </w:rPr>
              <w:t>er into</w:t>
            </w:r>
            <w:proofErr w:type="gramEnd"/>
            <w:r>
              <w:rPr>
                <w:b w:val="0"/>
              </w:rPr>
              <w:t xml:space="preserve"> this amendment, extension and ratification deed in connection with the Pledges and the Guarantee they have granted, as applicable.</w:t>
            </w:r>
          </w:p>
        </w:tc>
      </w:tr>
      <w:tr w:rsidR="00CD7F22" w:rsidRPr="00416D36" w14:paraId="20BB06D7" w14:textId="77777777" w:rsidTr="00F47A3C">
        <w:trPr>
          <w:jc w:val="center"/>
        </w:trPr>
        <w:tc>
          <w:tcPr>
            <w:tcW w:w="2500" w:type="pct"/>
          </w:tcPr>
          <w:p w14:paraId="1EF552E8" w14:textId="1C907EC9" w:rsidR="00CD7F22" w:rsidRDefault="00CD7F22" w:rsidP="00CD7F22">
            <w:pPr>
              <w:pStyle w:val="AOHead1"/>
              <w:keepNext w:val="0"/>
              <w:widowControl w:val="0"/>
              <w:rPr>
                <w:lang w:val="es-ES"/>
              </w:rPr>
            </w:pPr>
            <w:bookmarkStart w:id="58" w:name="_Toc162280034"/>
            <w:bookmarkStart w:id="59" w:name="_Toc164072642"/>
            <w:r>
              <w:rPr>
                <w:lang w:val="es-ES"/>
              </w:rPr>
              <w:t>Novación de la Prenda</w:t>
            </w:r>
            <w:bookmarkEnd w:id="58"/>
            <w:r>
              <w:rPr>
                <w:lang w:val="es-ES"/>
              </w:rPr>
              <w:t xml:space="preserve"> sobre Cuentas</w:t>
            </w:r>
            <w:bookmarkEnd w:id="59"/>
          </w:p>
        </w:tc>
        <w:tc>
          <w:tcPr>
            <w:tcW w:w="2500" w:type="pct"/>
            <w:shd w:val="clear" w:color="auto" w:fill="auto"/>
          </w:tcPr>
          <w:p w14:paraId="447A3E76" w14:textId="6E5CB44B" w:rsidR="00CD7F22" w:rsidRDefault="00CD7F22" w:rsidP="00CD7F22">
            <w:pPr>
              <w:pStyle w:val="AOGenNum1"/>
              <w:widowControl w:val="0"/>
            </w:pPr>
            <w:bookmarkStart w:id="60" w:name="_Toc164072655"/>
            <w:r>
              <w:t>Amendment of the Pledge over Bank Accounts</w:t>
            </w:r>
            <w:bookmarkEnd w:id="60"/>
          </w:p>
        </w:tc>
      </w:tr>
      <w:tr w:rsidR="00465335" w:rsidRPr="00416D36" w14:paraId="4B6A0D65" w14:textId="77777777" w:rsidTr="00F47A3C">
        <w:trPr>
          <w:jc w:val="center"/>
        </w:trPr>
        <w:tc>
          <w:tcPr>
            <w:tcW w:w="2500" w:type="pct"/>
          </w:tcPr>
          <w:p w14:paraId="5E3407D8" w14:textId="443DDEA8" w:rsidR="00465335" w:rsidRPr="00465335" w:rsidRDefault="00465335" w:rsidP="00465335">
            <w:pPr>
              <w:pStyle w:val="AOHead2"/>
              <w:keepNext w:val="0"/>
              <w:widowControl w:val="0"/>
              <w:rPr>
                <w:b w:val="0"/>
                <w:caps/>
                <w:lang w:val="es"/>
              </w:rPr>
            </w:pPr>
            <w:r w:rsidRPr="00465335">
              <w:rPr>
                <w:b w:val="0"/>
                <w:lang w:val="es"/>
              </w:rPr>
              <w:t>Las</w:t>
            </w:r>
            <w:r w:rsidRPr="00465335">
              <w:rPr>
                <w:b w:val="0"/>
                <w:caps/>
                <w:lang w:val="es"/>
              </w:rPr>
              <w:t xml:space="preserve"> </w:t>
            </w:r>
            <w:r w:rsidRPr="00D1055A">
              <w:rPr>
                <w:b w:val="0"/>
                <w:lang w:val="es"/>
              </w:rPr>
              <w:t>Partes, según corresponda, acuerdan novar la</w:t>
            </w:r>
            <w:r>
              <w:rPr>
                <w:b w:val="0"/>
                <w:lang w:val="es"/>
              </w:rPr>
              <w:t xml:space="preserve"> definición de Obligaciones Garantizadas bajo la</w:t>
            </w:r>
            <w:r w:rsidRPr="00D1055A">
              <w:rPr>
                <w:b w:val="0"/>
                <w:lang w:val="es"/>
              </w:rPr>
              <w:t xml:space="preserve"> Prenda sobre Cuentas, </w:t>
            </w:r>
            <w:r>
              <w:rPr>
                <w:b w:val="0"/>
                <w:lang w:val="es"/>
              </w:rPr>
              <w:t xml:space="preserve">la cual es reemplazada por </w:t>
            </w:r>
            <w:r w:rsidRPr="00D1055A">
              <w:rPr>
                <w:b w:val="0"/>
                <w:lang w:val="es"/>
              </w:rPr>
              <w:t>el tenor literal siguiente</w:t>
            </w:r>
            <w:r w:rsidRPr="00465335">
              <w:rPr>
                <w:b w:val="0"/>
                <w:caps/>
                <w:lang w:val="es"/>
              </w:rPr>
              <w:t xml:space="preserve">:  </w:t>
            </w:r>
          </w:p>
        </w:tc>
        <w:tc>
          <w:tcPr>
            <w:tcW w:w="2500" w:type="pct"/>
            <w:shd w:val="clear" w:color="auto" w:fill="auto"/>
          </w:tcPr>
          <w:p w14:paraId="0D1DCDBA" w14:textId="1A2BCA51" w:rsidR="00465335" w:rsidRPr="00465335" w:rsidRDefault="00465335" w:rsidP="00465335">
            <w:pPr>
              <w:pStyle w:val="AOHead2"/>
              <w:keepNext w:val="0"/>
              <w:widowControl w:val="0"/>
              <w:numPr>
                <w:ilvl w:val="1"/>
                <w:numId w:val="71"/>
              </w:numPr>
              <w:rPr>
                <w:b w:val="0"/>
                <w:caps/>
              </w:rPr>
            </w:pPr>
            <w:r w:rsidRPr="00465335">
              <w:rPr>
                <w:b w:val="0"/>
                <w:lang w:val="es"/>
              </w:rPr>
              <w:t>The</w:t>
            </w:r>
            <w:r w:rsidRPr="00465335">
              <w:rPr>
                <w:b w:val="0"/>
                <w:caps/>
              </w:rPr>
              <w:t xml:space="preserve"> </w:t>
            </w:r>
            <w:r w:rsidRPr="00465335">
              <w:rPr>
                <w:b w:val="0"/>
              </w:rPr>
              <w:t>Parties, as applicable, hereby agree to amend the Secured Obligations definition of the Pledge over Bank Accounts, so it is replaced with the following wording</w:t>
            </w:r>
            <w:r w:rsidRPr="00465335">
              <w:rPr>
                <w:b w:val="0"/>
                <w:caps/>
              </w:rPr>
              <w:t xml:space="preserve">: </w:t>
            </w:r>
          </w:p>
        </w:tc>
      </w:tr>
      <w:tr w:rsidR="00465335" w:rsidRPr="00465335" w14:paraId="62BAA06E" w14:textId="77777777" w:rsidTr="00F47A3C">
        <w:trPr>
          <w:jc w:val="center"/>
        </w:trPr>
        <w:tc>
          <w:tcPr>
            <w:tcW w:w="2500" w:type="pct"/>
          </w:tcPr>
          <w:p w14:paraId="61EA7B7C" w14:textId="5F794AEC" w:rsidR="00465335" w:rsidRPr="00465335" w:rsidRDefault="00465335" w:rsidP="00465335">
            <w:pPr>
              <w:pStyle w:val="AOHead1"/>
              <w:keepNext w:val="0"/>
              <w:widowControl w:val="0"/>
              <w:numPr>
                <w:ilvl w:val="0"/>
                <w:numId w:val="0"/>
              </w:numPr>
              <w:ind w:left="720"/>
              <w:rPr>
                <w:lang w:val="es-ES"/>
              </w:rPr>
            </w:pPr>
            <w:r w:rsidRPr="00465335">
              <w:rPr>
                <w:lang w:val="es-ES"/>
              </w:rPr>
              <w:t>“</w:t>
            </w:r>
            <w:r w:rsidRPr="00465335">
              <w:rPr>
                <w:b w:val="0"/>
                <w:i/>
                <w:iCs/>
                <w:caps w:val="0"/>
                <w:kern w:val="0"/>
                <w:lang w:val="es"/>
              </w:rPr>
              <w:t>Todas las obligaciones y responsabilidades, tanto presentes como futuras, tanto existentes como eventuales o contingentes, solidarias o mancomunadas o cualesquiera otras, de cada Obligado derivadas de los Documentos Garantizados, frente a las Partes Garantizadas (o cualquiera de ellas), junto con todos los costes, gastos o impuestos incurridos en relación con la protección, conservación y ejecución de sus respectivos derechos derivados de los Documentos Garantizados, salvo por las Obligaciones Excluidas (según este término se define a continuación</w:t>
            </w:r>
            <w:r>
              <w:rPr>
                <w:b w:val="0"/>
                <w:i/>
                <w:iCs/>
                <w:caps w:val="0"/>
                <w:kern w:val="0"/>
                <w:lang w:val="es"/>
              </w:rPr>
              <w:t>).</w:t>
            </w:r>
          </w:p>
        </w:tc>
        <w:tc>
          <w:tcPr>
            <w:tcW w:w="2500" w:type="pct"/>
            <w:shd w:val="clear" w:color="auto" w:fill="auto"/>
          </w:tcPr>
          <w:p w14:paraId="7B901D22" w14:textId="6097F35A" w:rsidR="00465335" w:rsidRPr="00465335" w:rsidRDefault="00465335" w:rsidP="00465335">
            <w:pPr>
              <w:pStyle w:val="AOGenNum1"/>
              <w:widowControl w:val="0"/>
              <w:numPr>
                <w:ilvl w:val="0"/>
                <w:numId w:val="0"/>
              </w:numPr>
              <w:ind w:left="720"/>
            </w:pPr>
            <w:r w:rsidRPr="00465335">
              <w:t>“</w:t>
            </w:r>
            <w:r w:rsidRPr="00465335">
              <w:rPr>
                <w:b w:val="0"/>
                <w:i/>
                <w:iCs/>
                <w:caps w:val="0"/>
                <w:lang w:val="es"/>
              </w:rPr>
              <w:t>All present and future obligations and liabilities, whether actual or contingent and whether owed jointly or severally or in any other capacity whatsoever, and obligations and liabilities of each Obligor under the Secured Documents to the Secured Parties (or any of them), together with all costs, expenses or taxes incurred in connection with the protection, preservation and enforcement of their respective rights under the Secured Documents except for the Excluded Obligations (as this term is defined below).</w:t>
            </w:r>
          </w:p>
        </w:tc>
      </w:tr>
      <w:tr w:rsidR="00465335" w:rsidRPr="00465335" w14:paraId="7D3A7CE7" w14:textId="77777777" w:rsidTr="00F47A3C">
        <w:trPr>
          <w:jc w:val="center"/>
        </w:trPr>
        <w:tc>
          <w:tcPr>
            <w:tcW w:w="2500" w:type="pct"/>
          </w:tcPr>
          <w:p w14:paraId="6EFFADE5" w14:textId="77162F7E" w:rsidR="00465335" w:rsidRPr="00465335" w:rsidRDefault="00465335" w:rsidP="00465335">
            <w:pPr>
              <w:pStyle w:val="AOHead1"/>
              <w:keepNext w:val="0"/>
              <w:widowControl w:val="0"/>
              <w:numPr>
                <w:ilvl w:val="0"/>
                <w:numId w:val="0"/>
              </w:numPr>
              <w:ind w:left="720"/>
              <w:rPr>
                <w:b w:val="0"/>
                <w:i/>
                <w:iCs/>
                <w:caps w:val="0"/>
                <w:kern w:val="0"/>
                <w:lang w:val="es"/>
              </w:rPr>
            </w:pPr>
            <w:r w:rsidRPr="00465335">
              <w:rPr>
                <w:bCs/>
                <w:i/>
                <w:iCs/>
                <w:caps w:val="0"/>
                <w:kern w:val="0"/>
                <w:lang w:val="es"/>
              </w:rPr>
              <w:t>Obligaciones Excluidas</w:t>
            </w:r>
            <w:r w:rsidRPr="00465335">
              <w:rPr>
                <w:b w:val="0"/>
                <w:i/>
                <w:iCs/>
                <w:caps w:val="0"/>
                <w:kern w:val="0"/>
                <w:lang w:val="es"/>
              </w:rPr>
              <w:t xml:space="preserve"> significa: Aquellas obligaciones derivadas del Term Facility y el CAPEX Facility (tal y como estos términos se definen en el Contrato de Crédito Autorizado 202</w:t>
            </w:r>
            <w:r>
              <w:rPr>
                <w:b w:val="0"/>
                <w:i/>
                <w:iCs/>
                <w:caps w:val="0"/>
                <w:kern w:val="0"/>
                <w:lang w:val="es"/>
              </w:rPr>
              <w:t>4 y en el Contrato de Crédito Autorizado 2025</w:t>
            </w:r>
            <w:r w:rsidRPr="00465335">
              <w:rPr>
                <w:b w:val="0"/>
                <w:i/>
                <w:iCs/>
                <w:caps w:val="0"/>
                <w:kern w:val="0"/>
                <w:lang w:val="es"/>
              </w:rPr>
              <w:t>) bajo el Contrato de Crédito Autorizado 2024</w:t>
            </w:r>
            <w:r>
              <w:rPr>
                <w:b w:val="0"/>
                <w:i/>
                <w:iCs/>
                <w:caps w:val="0"/>
                <w:kern w:val="0"/>
                <w:lang w:val="es"/>
              </w:rPr>
              <w:t xml:space="preserve"> y bajo el Contrato de Crédito Autorizado 2025</w:t>
            </w:r>
            <w:r w:rsidRPr="00465335">
              <w:rPr>
                <w:b w:val="0"/>
                <w:i/>
                <w:iCs/>
                <w:caps w:val="0"/>
                <w:kern w:val="0"/>
                <w:lang w:val="es"/>
              </w:rPr>
              <w:t xml:space="preserve"> y las obligaciones derivadas de los Contratos de Cobertura</w:t>
            </w:r>
            <w:r>
              <w:rPr>
                <w:b w:val="0"/>
                <w:i/>
                <w:iCs/>
                <w:caps w:val="0"/>
                <w:kern w:val="0"/>
                <w:lang w:val="es"/>
              </w:rPr>
              <w:t xml:space="preserve"> 2024 y de los Nuevos </w:t>
            </w:r>
            <w:r w:rsidRPr="00465335">
              <w:rPr>
                <w:b w:val="0"/>
                <w:i/>
                <w:iCs/>
                <w:caps w:val="0"/>
                <w:kern w:val="0"/>
                <w:lang w:val="es"/>
              </w:rPr>
              <w:t xml:space="preserve">Contratos de Cobertura, en la medida en que no puedan ser válidamente garantizadas por el Pignorante por resultar de aplicación de la prohibición de asistencia financiera </w:t>
            </w:r>
            <w:r w:rsidRPr="00465335">
              <w:rPr>
                <w:b w:val="0"/>
                <w:i/>
                <w:iCs/>
                <w:caps w:val="0"/>
                <w:kern w:val="0"/>
                <w:lang w:val="es"/>
              </w:rPr>
              <w:lastRenderedPageBreak/>
              <w:t>regulada en el artículo 143.2 del Real Decreto 1/2010, de 2 de julio, por el que se aprueba el texto refundido de la Ley de Sociedades de Capital.”</w:t>
            </w:r>
          </w:p>
        </w:tc>
        <w:tc>
          <w:tcPr>
            <w:tcW w:w="2500" w:type="pct"/>
            <w:shd w:val="clear" w:color="auto" w:fill="auto"/>
          </w:tcPr>
          <w:p w14:paraId="61BF26A5" w14:textId="520D3DFA" w:rsidR="00465335" w:rsidRPr="00465335" w:rsidRDefault="00465335" w:rsidP="00465335">
            <w:pPr>
              <w:pStyle w:val="AOGenNum1"/>
              <w:widowControl w:val="0"/>
              <w:numPr>
                <w:ilvl w:val="0"/>
                <w:numId w:val="0"/>
              </w:numPr>
              <w:ind w:left="720"/>
              <w:rPr>
                <w:b w:val="0"/>
                <w:i/>
                <w:iCs/>
                <w:caps w:val="0"/>
              </w:rPr>
            </w:pPr>
            <w:r w:rsidRPr="00465335">
              <w:rPr>
                <w:bCs/>
                <w:i/>
                <w:iCs/>
                <w:caps w:val="0"/>
              </w:rPr>
              <w:lastRenderedPageBreak/>
              <w:t>Excluded Obligations</w:t>
            </w:r>
            <w:r w:rsidRPr="00465335">
              <w:rPr>
                <w:b w:val="0"/>
                <w:i/>
                <w:iCs/>
                <w:caps w:val="0"/>
              </w:rPr>
              <w:t xml:space="preserve"> means: Those obligations derived from the Term Facility and the CAPEX Facility (as these terms are defined in the 2024 Authori</w:t>
            </w:r>
            <w:r>
              <w:rPr>
                <w:b w:val="0"/>
                <w:i/>
                <w:iCs/>
                <w:caps w:val="0"/>
              </w:rPr>
              <w:t>s</w:t>
            </w:r>
            <w:r w:rsidRPr="00465335">
              <w:rPr>
                <w:b w:val="0"/>
                <w:i/>
                <w:iCs/>
                <w:caps w:val="0"/>
              </w:rPr>
              <w:t>ed Credit Facilities Agreement</w:t>
            </w:r>
            <w:r w:rsidRPr="00465335">
              <w:rPr>
                <w:b w:val="0"/>
                <w:i/>
                <w:iCs/>
                <w:caps w:val="0"/>
              </w:rPr>
              <w:t xml:space="preserve"> </w:t>
            </w:r>
            <w:r>
              <w:rPr>
                <w:b w:val="0"/>
                <w:i/>
                <w:iCs/>
                <w:caps w:val="0"/>
              </w:rPr>
              <w:t xml:space="preserve">and the 2025 </w:t>
            </w:r>
            <w:r w:rsidRPr="00465335">
              <w:rPr>
                <w:b w:val="0"/>
                <w:i/>
                <w:iCs/>
                <w:caps w:val="0"/>
              </w:rPr>
              <w:t>Authori</w:t>
            </w:r>
            <w:r>
              <w:rPr>
                <w:b w:val="0"/>
                <w:i/>
                <w:iCs/>
                <w:caps w:val="0"/>
              </w:rPr>
              <w:t>s</w:t>
            </w:r>
            <w:r w:rsidRPr="00465335">
              <w:rPr>
                <w:b w:val="0"/>
                <w:i/>
                <w:iCs/>
                <w:caps w:val="0"/>
              </w:rPr>
              <w:t>ed Credit Facilities Agreement) under the 2024 Authori</w:t>
            </w:r>
            <w:r>
              <w:rPr>
                <w:b w:val="0"/>
                <w:i/>
                <w:iCs/>
                <w:caps w:val="0"/>
              </w:rPr>
              <w:t>s</w:t>
            </w:r>
            <w:r w:rsidRPr="00465335">
              <w:rPr>
                <w:b w:val="0"/>
                <w:i/>
                <w:iCs/>
                <w:caps w:val="0"/>
              </w:rPr>
              <w:t xml:space="preserve">ed Credit Facilities Agreement </w:t>
            </w:r>
            <w:r>
              <w:rPr>
                <w:b w:val="0"/>
                <w:i/>
                <w:iCs/>
                <w:caps w:val="0"/>
              </w:rPr>
              <w:t xml:space="preserve">and the </w:t>
            </w:r>
            <w:r w:rsidRPr="00465335">
              <w:rPr>
                <w:b w:val="0"/>
                <w:i/>
                <w:iCs/>
                <w:caps w:val="0"/>
              </w:rPr>
              <w:t>202</w:t>
            </w:r>
            <w:r>
              <w:rPr>
                <w:b w:val="0"/>
                <w:i/>
                <w:iCs/>
                <w:caps w:val="0"/>
              </w:rPr>
              <w:t>5</w:t>
            </w:r>
            <w:r w:rsidRPr="00465335">
              <w:rPr>
                <w:b w:val="0"/>
                <w:i/>
                <w:iCs/>
                <w:caps w:val="0"/>
              </w:rPr>
              <w:t xml:space="preserve"> Authori</w:t>
            </w:r>
            <w:r>
              <w:rPr>
                <w:b w:val="0"/>
                <w:i/>
                <w:iCs/>
                <w:caps w:val="0"/>
              </w:rPr>
              <w:t>s</w:t>
            </w:r>
            <w:r w:rsidRPr="00465335">
              <w:rPr>
                <w:b w:val="0"/>
                <w:i/>
                <w:iCs/>
                <w:caps w:val="0"/>
              </w:rPr>
              <w:t>ed Credit Facilities Agreement</w:t>
            </w:r>
            <w:r w:rsidRPr="00465335">
              <w:rPr>
                <w:b w:val="0"/>
                <w:i/>
                <w:iCs/>
                <w:caps w:val="0"/>
              </w:rPr>
              <w:t xml:space="preserve"> </w:t>
            </w:r>
            <w:r w:rsidRPr="00465335">
              <w:rPr>
                <w:b w:val="0"/>
                <w:i/>
                <w:iCs/>
                <w:caps w:val="0"/>
              </w:rPr>
              <w:t xml:space="preserve">and the obligations derived from the </w:t>
            </w:r>
            <w:r w:rsidR="000B363E">
              <w:rPr>
                <w:b w:val="0"/>
                <w:i/>
                <w:iCs/>
                <w:caps w:val="0"/>
              </w:rPr>
              <w:t xml:space="preserve">2024 </w:t>
            </w:r>
            <w:r w:rsidR="000B363E" w:rsidRPr="00465335">
              <w:rPr>
                <w:b w:val="0"/>
                <w:i/>
                <w:iCs/>
                <w:caps w:val="0"/>
              </w:rPr>
              <w:t>Hedging Agreements</w:t>
            </w:r>
            <w:r w:rsidR="000B363E" w:rsidRPr="00465335">
              <w:rPr>
                <w:b w:val="0"/>
                <w:i/>
                <w:iCs/>
                <w:caps w:val="0"/>
              </w:rPr>
              <w:t xml:space="preserve"> </w:t>
            </w:r>
            <w:r w:rsidR="000B363E">
              <w:rPr>
                <w:b w:val="0"/>
                <w:i/>
                <w:iCs/>
                <w:caps w:val="0"/>
              </w:rPr>
              <w:t xml:space="preserve">and the </w:t>
            </w:r>
            <w:r w:rsidRPr="00465335">
              <w:rPr>
                <w:b w:val="0"/>
                <w:i/>
                <w:iCs/>
                <w:caps w:val="0"/>
              </w:rPr>
              <w:t xml:space="preserve">New Hedging Agreements, to the extent that such obligations cannot be secured by the Pledgor to the extent that this would contravene the prohibition of </w:t>
            </w:r>
            <w:r w:rsidRPr="00465335">
              <w:rPr>
                <w:b w:val="0"/>
                <w:i/>
                <w:iCs/>
                <w:caps w:val="0"/>
              </w:rPr>
              <w:lastRenderedPageBreak/>
              <w:t>financial assistance under article 143.2 of the Royal Legislative Decree 1/2010, of July 2, approving the Consolidated Spanish Companies Act or under any other foreign law that is mandatorily applicable to the Pledgor of the Credit Rights</w:t>
            </w:r>
            <w:r w:rsidRPr="00465335">
              <w:rPr>
                <w:b w:val="0"/>
                <w:i/>
                <w:iCs/>
                <w:caps w:val="0"/>
              </w:rPr>
              <w:t>.”</w:t>
            </w:r>
          </w:p>
        </w:tc>
      </w:tr>
      <w:tr w:rsidR="00465335" w:rsidRPr="00416D36" w14:paraId="0C960EA7" w14:textId="77777777" w:rsidTr="00F47A3C">
        <w:trPr>
          <w:jc w:val="center"/>
        </w:trPr>
        <w:tc>
          <w:tcPr>
            <w:tcW w:w="2500" w:type="pct"/>
          </w:tcPr>
          <w:p w14:paraId="0798876C" w14:textId="21348712" w:rsidR="00465335" w:rsidRDefault="00465335" w:rsidP="00465335">
            <w:pPr>
              <w:pStyle w:val="AOHead1"/>
              <w:keepNext w:val="0"/>
              <w:widowControl w:val="0"/>
              <w:rPr>
                <w:lang w:val="es-ES"/>
              </w:rPr>
            </w:pPr>
            <w:bookmarkStart w:id="61" w:name="_Toc509941260"/>
            <w:bookmarkStart w:id="62" w:name="_Toc509941305"/>
            <w:bookmarkStart w:id="63" w:name="_Toc482135436"/>
            <w:bookmarkStart w:id="64" w:name="_Toc515511659"/>
            <w:bookmarkStart w:id="65" w:name="_Toc43145971"/>
            <w:bookmarkStart w:id="66" w:name="_Toc65597003"/>
            <w:bookmarkStart w:id="67" w:name="_Toc198658670"/>
            <w:r>
              <w:rPr>
                <w:lang w:val="es-ES"/>
              </w:rPr>
              <w:lastRenderedPageBreak/>
              <w:t>Extensión de las Prenda</w:t>
            </w:r>
            <w:bookmarkEnd w:id="61"/>
            <w:bookmarkEnd w:id="62"/>
            <w:bookmarkEnd w:id="63"/>
            <w:bookmarkEnd w:id="64"/>
            <w:r>
              <w:rPr>
                <w:lang w:val="es-ES"/>
              </w:rPr>
              <w:t>s a las nuevas obligaciones garantizadas</w:t>
            </w:r>
            <w:bookmarkEnd w:id="65"/>
            <w:bookmarkEnd w:id="66"/>
            <w:bookmarkEnd w:id="67"/>
          </w:p>
        </w:tc>
        <w:tc>
          <w:tcPr>
            <w:tcW w:w="2500" w:type="pct"/>
            <w:shd w:val="clear" w:color="auto" w:fill="auto"/>
          </w:tcPr>
          <w:p w14:paraId="0190017F" w14:textId="62925A73" w:rsidR="00465335" w:rsidRDefault="00465335" w:rsidP="00465335">
            <w:pPr>
              <w:pStyle w:val="AOGenNum1"/>
              <w:widowControl w:val="0"/>
            </w:pPr>
            <w:bookmarkStart w:id="68" w:name="_Toc482135350"/>
            <w:bookmarkStart w:id="69" w:name="_Toc515511668"/>
            <w:bookmarkStart w:id="70" w:name="_Toc43145956"/>
            <w:bookmarkStart w:id="71" w:name="_Toc65597015"/>
            <w:bookmarkStart w:id="72" w:name="_Toc198658699"/>
            <w:r>
              <w:t>Extension of the P</w:t>
            </w:r>
            <w:r w:rsidRPr="00FD6E66">
              <w:t>ledge</w:t>
            </w:r>
            <w:bookmarkEnd w:id="68"/>
            <w:bookmarkEnd w:id="69"/>
            <w:r>
              <w:t>s to the new secured obligations</w:t>
            </w:r>
            <w:bookmarkEnd w:id="70"/>
            <w:bookmarkEnd w:id="71"/>
            <w:bookmarkEnd w:id="72"/>
          </w:p>
        </w:tc>
      </w:tr>
      <w:tr w:rsidR="00465335" w:rsidRPr="00416D36" w14:paraId="48D0EFE2" w14:textId="77777777" w:rsidTr="00F47A3C">
        <w:trPr>
          <w:jc w:val="center"/>
        </w:trPr>
        <w:tc>
          <w:tcPr>
            <w:tcW w:w="2500" w:type="pct"/>
          </w:tcPr>
          <w:p w14:paraId="73BCC1E8" w14:textId="172439F4" w:rsidR="00465335" w:rsidRDefault="00465335" w:rsidP="00465335">
            <w:pPr>
              <w:pStyle w:val="AOAltHead2"/>
              <w:rPr>
                <w:lang w:val="es-ES"/>
              </w:rPr>
            </w:pPr>
            <w:r>
              <w:rPr>
                <w:lang w:val="es-ES"/>
              </w:rPr>
              <w:t xml:space="preserve">Las Partes por la presente acuerdan extender las Prendas al objeto de que éstas garanticen el </w:t>
            </w:r>
            <w:r w:rsidRPr="00E53971">
              <w:rPr>
                <w:lang w:val="es-ES"/>
              </w:rPr>
              <w:t>íntegro y puntual cumplimiento de todas las obligaciones y responsabilidades, tanto presentes como futuras</w:t>
            </w:r>
            <w:r>
              <w:rPr>
                <w:lang w:val="es-ES"/>
              </w:rPr>
              <w:t>,</w:t>
            </w:r>
            <w:r w:rsidRPr="00E53971">
              <w:rPr>
                <w:lang w:val="es-ES"/>
              </w:rPr>
              <w:t xml:space="preserve"> tanto existentes como eventuales o contingentes, solidarias o mancomunadas o cualesquiera otras, de cada</w:t>
            </w:r>
            <w:r>
              <w:rPr>
                <w:lang w:val="es-ES"/>
              </w:rPr>
              <w:t xml:space="preserve"> Obligado </w:t>
            </w:r>
            <w:r w:rsidRPr="00E53971">
              <w:rPr>
                <w:lang w:val="es-ES"/>
              </w:rPr>
              <w:t xml:space="preserve">derivadas </w:t>
            </w:r>
            <w:r>
              <w:rPr>
                <w:lang w:val="es-ES"/>
              </w:rPr>
              <w:t xml:space="preserve">del </w:t>
            </w:r>
            <w:r w:rsidRPr="00216294">
              <w:rPr>
                <w:lang w:val="es-ES"/>
              </w:rPr>
              <w:t>Contrato de Crédito Autorizado 2025, el Contrato de</w:t>
            </w:r>
            <w:r w:rsidRPr="00602517">
              <w:rPr>
                <w:lang w:val="es-ES"/>
              </w:rPr>
              <w:t xml:space="preserve"> </w:t>
            </w:r>
            <w:r w:rsidRPr="00216294">
              <w:rPr>
                <w:lang w:val="es-ES"/>
              </w:rPr>
              <w:t>Compra de Instrumentos de Deuda PP 2025</w:t>
            </w:r>
            <w:r>
              <w:rPr>
                <w:lang w:val="es-ES"/>
              </w:rPr>
              <w:t>,</w:t>
            </w:r>
            <w:r w:rsidRPr="00216294">
              <w:rPr>
                <w:lang w:val="es-ES"/>
              </w:rPr>
              <w:t xml:space="preserve"> la Propuesta STID 2025</w:t>
            </w:r>
            <w:r>
              <w:rPr>
                <w:lang w:val="es-ES"/>
              </w:rPr>
              <w:t xml:space="preserve">, el </w:t>
            </w:r>
            <w:r w:rsidRPr="00553B6D">
              <w:rPr>
                <w:lang w:val="es-ES"/>
              </w:rPr>
              <w:t xml:space="preserve">Contrato de Novación y Refundición </w:t>
            </w:r>
            <w:r w:rsidRPr="00553B6D">
              <w:rPr>
                <w:lang w:val="es-ES" w:eastAsia="es-ES"/>
              </w:rPr>
              <w:t xml:space="preserve">2025 </w:t>
            </w:r>
            <w:r w:rsidRPr="00553B6D">
              <w:rPr>
                <w:lang w:val="es-ES"/>
              </w:rPr>
              <w:t>y los Nuevos</w:t>
            </w:r>
            <w:r>
              <w:rPr>
                <w:lang w:val="es-ES"/>
              </w:rPr>
              <w:t xml:space="preserve"> Contratos de Cobertura</w:t>
            </w:r>
            <w:r>
              <w:rPr>
                <w:u w:color="0000FF"/>
                <w:lang w:val="es-ES"/>
              </w:rPr>
              <w:t xml:space="preserve"> </w:t>
            </w:r>
            <w:r w:rsidRPr="00E53971">
              <w:rPr>
                <w:lang w:val="es-ES"/>
              </w:rPr>
              <w:t xml:space="preserve">frente a las Partes Garantizadas (o cualquiera de ellas), junto con todos los costes, gastos o impuestos incurridos en relación con la protección, conservación y ejecución de sus respectivos derechos derivados </w:t>
            </w:r>
            <w:r>
              <w:rPr>
                <w:lang w:val="es-ES"/>
              </w:rPr>
              <w:t xml:space="preserve">del </w:t>
            </w:r>
            <w:r w:rsidRPr="00216294">
              <w:rPr>
                <w:lang w:val="es-ES"/>
              </w:rPr>
              <w:t>Contrato de Crédito Autorizado 2025, el Contrato de</w:t>
            </w:r>
            <w:r w:rsidRPr="00602517">
              <w:rPr>
                <w:lang w:val="es-ES"/>
              </w:rPr>
              <w:t xml:space="preserve"> </w:t>
            </w:r>
            <w:r w:rsidRPr="00216294">
              <w:rPr>
                <w:lang w:val="es-ES"/>
              </w:rPr>
              <w:t>Compra de Instrumentos de Deuda PP 2025</w:t>
            </w:r>
            <w:r>
              <w:rPr>
                <w:lang w:val="es-ES"/>
              </w:rPr>
              <w:t xml:space="preserve">, </w:t>
            </w:r>
            <w:r w:rsidRPr="00216294">
              <w:rPr>
                <w:lang w:val="es-ES"/>
              </w:rPr>
              <w:t>la Propuesta STID 2025</w:t>
            </w:r>
            <w:r>
              <w:rPr>
                <w:lang w:val="es-ES"/>
              </w:rPr>
              <w:t xml:space="preserve">, el </w:t>
            </w:r>
            <w:r w:rsidRPr="00553B6D">
              <w:rPr>
                <w:lang w:val="es-ES"/>
              </w:rPr>
              <w:t xml:space="preserve">Contrato de Novación y Refundición </w:t>
            </w:r>
            <w:r w:rsidRPr="00553B6D">
              <w:rPr>
                <w:lang w:val="es-ES" w:eastAsia="es-ES"/>
              </w:rPr>
              <w:t xml:space="preserve">2025 </w:t>
            </w:r>
            <w:r w:rsidRPr="00553B6D">
              <w:rPr>
                <w:lang w:val="es-ES"/>
              </w:rPr>
              <w:t>y los Nuevos</w:t>
            </w:r>
            <w:r>
              <w:rPr>
                <w:lang w:val="es-ES"/>
              </w:rPr>
              <w:t xml:space="preserve"> Contratos de Cobertura</w:t>
            </w:r>
            <w:r>
              <w:rPr>
                <w:u w:color="0000FF"/>
                <w:lang w:val="es-ES"/>
              </w:rPr>
              <w:t xml:space="preserve"> </w:t>
            </w:r>
            <w:r>
              <w:rPr>
                <w:lang w:val="es-ES"/>
              </w:rPr>
              <w:t xml:space="preserve">(en adelante, las </w:t>
            </w:r>
            <w:r w:rsidRPr="00141AAA">
              <w:rPr>
                <w:b/>
                <w:lang w:val="es-ES"/>
              </w:rPr>
              <w:t>Obligaciones Garantizadas</w:t>
            </w:r>
            <w:r>
              <w:rPr>
                <w:b/>
                <w:lang w:val="es-ES"/>
              </w:rPr>
              <w:t xml:space="preserve"> Adicionales</w:t>
            </w:r>
            <w:r>
              <w:rPr>
                <w:lang w:val="es-ES"/>
              </w:rPr>
              <w:t xml:space="preserve">). Asimismo, los </w:t>
            </w:r>
            <w:proofErr w:type="spellStart"/>
            <w:r>
              <w:rPr>
                <w:lang w:val="es-ES"/>
              </w:rPr>
              <w:t>Pignorantes</w:t>
            </w:r>
            <w:proofErr w:type="spellEnd"/>
            <w:r>
              <w:rPr>
                <w:lang w:val="es-ES"/>
              </w:rPr>
              <w:t xml:space="preserve"> extienden las Prendas a favor de </w:t>
            </w:r>
            <w:r w:rsidRPr="00D04DF4">
              <w:rPr>
                <w:lang w:val="es-ES"/>
              </w:rPr>
              <w:t>las Entidades Financiadoras ACF 202</w:t>
            </w:r>
            <w:r>
              <w:rPr>
                <w:lang w:val="es-ES"/>
              </w:rPr>
              <w:t xml:space="preserve">5, las Nuevas Compradoras de Bonos 2025 y las Nuevas Entidades de Cobertura. </w:t>
            </w:r>
          </w:p>
        </w:tc>
        <w:tc>
          <w:tcPr>
            <w:tcW w:w="2500" w:type="pct"/>
            <w:shd w:val="clear" w:color="auto" w:fill="auto"/>
          </w:tcPr>
          <w:p w14:paraId="2B67D130" w14:textId="4F913A29" w:rsidR="00465335" w:rsidRPr="00C705A9" w:rsidRDefault="00465335" w:rsidP="00465335">
            <w:pPr>
              <w:pStyle w:val="AOGenNum1Para"/>
              <w:keepNext w:val="0"/>
              <w:widowControl w:val="0"/>
              <w:rPr>
                <w:b w:val="0"/>
              </w:rPr>
            </w:pPr>
            <w:r w:rsidRPr="00141AAA">
              <w:rPr>
                <w:b w:val="0"/>
              </w:rPr>
              <w:t>The Parties hereby agree to extend the Pledge</w:t>
            </w:r>
            <w:r>
              <w:rPr>
                <w:b w:val="0"/>
              </w:rPr>
              <w:t>s so that they secure</w:t>
            </w:r>
            <w:r w:rsidRPr="00141AAA">
              <w:rPr>
                <w:b w:val="0"/>
              </w:rPr>
              <w:t xml:space="preserve"> the </w:t>
            </w:r>
            <w:r w:rsidRPr="005C4A62">
              <w:rPr>
                <w:b w:val="0"/>
              </w:rPr>
              <w:t xml:space="preserve">full and timely compliance with all present and future obligations and liabilities, whether actual or contingent and whether owed jointly or severally or in any other capacity whatsoever, and obligations and liabilities of each </w:t>
            </w:r>
            <w:r w:rsidRPr="00AB7440">
              <w:rPr>
                <w:b w:val="0"/>
              </w:rPr>
              <w:t xml:space="preserve">Obligor under </w:t>
            </w:r>
            <w:r w:rsidRPr="00216294">
              <w:rPr>
                <w:b w:val="0"/>
                <w:lang w:eastAsia="es-ES"/>
              </w:rPr>
              <w:t xml:space="preserve">2025 </w:t>
            </w:r>
            <w:r w:rsidRPr="00216294">
              <w:rPr>
                <w:b w:val="0"/>
              </w:rPr>
              <w:t>Authorised Credit Facilities</w:t>
            </w:r>
            <w:r w:rsidRPr="00216294">
              <w:rPr>
                <w:b w:val="0"/>
                <w:lang w:eastAsia="en-GB" w:bidi="en-GB"/>
              </w:rPr>
              <w:t xml:space="preserve"> Agreement, </w:t>
            </w:r>
            <w:r w:rsidRPr="00216294">
              <w:rPr>
                <w:b w:val="0"/>
              </w:rPr>
              <w:t>2025 PP Debt Note Purchase Agreement</w:t>
            </w:r>
            <w:r>
              <w:rPr>
                <w:b w:val="0"/>
              </w:rPr>
              <w:t xml:space="preserve">, </w:t>
            </w:r>
            <w:r w:rsidRPr="00216294">
              <w:rPr>
                <w:b w:val="0"/>
              </w:rPr>
              <w:t>the 2025 STID Proposal</w:t>
            </w:r>
            <w:r>
              <w:rPr>
                <w:b w:val="0"/>
              </w:rPr>
              <w:t xml:space="preserve">, </w:t>
            </w:r>
            <w:r w:rsidRPr="00D513C2">
              <w:rPr>
                <w:b w:val="0"/>
              </w:rPr>
              <w:t>the 2025 Amendment and Restatement Agreement and the New Hedging Agreements</w:t>
            </w:r>
            <w:r w:rsidRPr="00AB7440" w:rsidDel="006E0A1C">
              <w:rPr>
                <w:b w:val="0"/>
              </w:rPr>
              <w:t xml:space="preserve"> </w:t>
            </w:r>
            <w:r w:rsidRPr="00AB7440">
              <w:rPr>
                <w:b w:val="0"/>
              </w:rPr>
              <w:t>to the Secured Parties (or any of them), together with all costs, expenses or taxes incurred in connection with the protection</w:t>
            </w:r>
            <w:r w:rsidRPr="005C4A62">
              <w:rPr>
                <w:b w:val="0"/>
              </w:rPr>
              <w:t xml:space="preserve">, preservation and enforcement of their respective rights under </w:t>
            </w:r>
            <w:r w:rsidRPr="00D04DF4">
              <w:rPr>
                <w:b w:val="0"/>
                <w:bCs/>
              </w:rPr>
              <w:t xml:space="preserve">the </w:t>
            </w:r>
            <w:r w:rsidRPr="00216294">
              <w:rPr>
                <w:b w:val="0"/>
                <w:lang w:eastAsia="es-ES"/>
              </w:rPr>
              <w:t xml:space="preserve">2025 </w:t>
            </w:r>
            <w:r w:rsidRPr="00216294">
              <w:rPr>
                <w:b w:val="0"/>
              </w:rPr>
              <w:t>Authorised Credit Facilities</w:t>
            </w:r>
            <w:r w:rsidRPr="00216294">
              <w:rPr>
                <w:b w:val="0"/>
                <w:lang w:eastAsia="en-GB" w:bidi="en-GB"/>
              </w:rPr>
              <w:t xml:space="preserve"> Agreement, </w:t>
            </w:r>
            <w:r w:rsidRPr="00216294">
              <w:rPr>
                <w:b w:val="0"/>
              </w:rPr>
              <w:t>2025 PP Debt Note Purchase Agreement</w:t>
            </w:r>
            <w:r>
              <w:rPr>
                <w:b w:val="0"/>
              </w:rPr>
              <w:t xml:space="preserve">, </w:t>
            </w:r>
            <w:r w:rsidRPr="00216294">
              <w:rPr>
                <w:b w:val="0"/>
              </w:rPr>
              <w:t xml:space="preserve">the 2025 STID </w:t>
            </w:r>
            <w:r w:rsidRPr="00D513C2">
              <w:rPr>
                <w:b w:val="0"/>
              </w:rPr>
              <w:t>Proposal, the 2025 Amendment and Restatement Agreement and the New Hedging Agreements</w:t>
            </w:r>
            <w:r w:rsidRPr="00D04DF4" w:rsidDel="003553C9">
              <w:rPr>
                <w:b w:val="0"/>
                <w:bCs/>
                <w:lang w:eastAsia="es-ES"/>
              </w:rPr>
              <w:t xml:space="preserve"> </w:t>
            </w:r>
            <w:r w:rsidRPr="00C705A9">
              <w:rPr>
                <w:b w:val="0"/>
                <w:bCs/>
              </w:rPr>
              <w:t xml:space="preserve">(the </w:t>
            </w:r>
            <w:r w:rsidRPr="00AB7440">
              <w:t>Additional Secured</w:t>
            </w:r>
            <w:r w:rsidRPr="005C4A62">
              <w:t xml:space="preserve"> Obligations</w:t>
            </w:r>
            <w:r w:rsidRPr="00C705A9">
              <w:rPr>
                <w:b w:val="0"/>
              </w:rPr>
              <w:t>). Likewise, the Pledgors extend the Pledges in favour of the ACF Lenders 202</w:t>
            </w:r>
            <w:r>
              <w:rPr>
                <w:b w:val="0"/>
              </w:rPr>
              <w:t xml:space="preserve">5, the New Note Purchasers 2025 and the New </w:t>
            </w:r>
            <w:r w:rsidRPr="00D513C2">
              <w:rPr>
                <w:b w:val="0"/>
              </w:rPr>
              <w:t xml:space="preserve">Hedging </w:t>
            </w:r>
            <w:r>
              <w:rPr>
                <w:b w:val="0"/>
              </w:rPr>
              <w:t>Counterparties</w:t>
            </w:r>
            <w:r w:rsidRPr="00C705A9">
              <w:rPr>
                <w:b w:val="0"/>
              </w:rPr>
              <w:t>.</w:t>
            </w:r>
          </w:p>
        </w:tc>
      </w:tr>
      <w:tr w:rsidR="00465335" w:rsidRPr="002C0952" w14:paraId="0716BC05" w14:textId="77777777" w:rsidTr="00F47A3C">
        <w:trPr>
          <w:jc w:val="center"/>
        </w:trPr>
        <w:tc>
          <w:tcPr>
            <w:tcW w:w="2500" w:type="pct"/>
          </w:tcPr>
          <w:p w14:paraId="1F2BFC64" w14:textId="701533B6" w:rsidR="00465335" w:rsidRDefault="00465335" w:rsidP="00465335">
            <w:pPr>
              <w:pStyle w:val="AOAltHead2"/>
              <w:rPr>
                <w:lang w:val="es-ES"/>
              </w:rPr>
            </w:pPr>
            <w:r>
              <w:rPr>
                <w:lang w:val="es-ES"/>
              </w:rPr>
              <w:t xml:space="preserve">Desde la presente fecha, dichas Obligaciones Garantizadas Adicionales pasan a formar parte íntegramente de las Obligaciones Garantizadas bajo las Prendas, de tal forma que, sin perjuicio de las obligaciones garantizadas hasta la fecha por las Prendas, que continuarán garantizadas por la misma hasta su íntegro y puntual cumplimiento y que los </w:t>
            </w:r>
            <w:proofErr w:type="spellStart"/>
            <w:r>
              <w:rPr>
                <w:lang w:val="es-ES"/>
              </w:rPr>
              <w:t>Pignorantes</w:t>
            </w:r>
            <w:proofErr w:type="spellEnd"/>
            <w:r>
              <w:rPr>
                <w:lang w:val="es-ES"/>
              </w:rPr>
              <w:t xml:space="preserve"> por la presente ratifican, se garantizarán íntegramente todas las Obligaciones Garantizadas Adicionales mediante la extensión de las Prendas a las mismas.</w:t>
            </w:r>
          </w:p>
        </w:tc>
        <w:tc>
          <w:tcPr>
            <w:tcW w:w="2500" w:type="pct"/>
            <w:shd w:val="clear" w:color="auto" w:fill="auto"/>
          </w:tcPr>
          <w:p w14:paraId="757E3DD3" w14:textId="24BC9505" w:rsidR="00465335" w:rsidRPr="00250394" w:rsidRDefault="00465335" w:rsidP="00465335">
            <w:pPr>
              <w:pStyle w:val="AOGenNum1Para"/>
              <w:keepNext w:val="0"/>
              <w:widowControl w:val="0"/>
            </w:pPr>
            <w:r w:rsidRPr="002C0952">
              <w:rPr>
                <w:rFonts w:eastAsia="Times New Roman"/>
                <w:b w:val="0"/>
              </w:rPr>
              <w:t>From</w:t>
            </w:r>
            <w:r>
              <w:rPr>
                <w:b w:val="0"/>
                <w:bCs/>
              </w:rPr>
              <w:t xml:space="preserve"> the date hereof, such Additional Secured Obligations shall be fully included in the Secured Obligations under the Pledges. Therefore, without prejudice to the obligations currently secured by the Pledges, which will continue to be fully secured by such Pledges until they are totally fulfilled and which the Pledgors hereby expressly ratify.</w:t>
            </w:r>
          </w:p>
        </w:tc>
      </w:tr>
      <w:tr w:rsidR="00465335" w:rsidRPr="00416D36" w14:paraId="49C3E5E1" w14:textId="77777777" w:rsidTr="00F47A3C">
        <w:trPr>
          <w:jc w:val="center"/>
        </w:trPr>
        <w:tc>
          <w:tcPr>
            <w:tcW w:w="2500" w:type="pct"/>
          </w:tcPr>
          <w:p w14:paraId="14D55857" w14:textId="1CD3207F" w:rsidR="00465335" w:rsidRDefault="00465335" w:rsidP="00465335">
            <w:pPr>
              <w:pStyle w:val="AOAltHead2"/>
              <w:widowControl w:val="0"/>
              <w:rPr>
                <w:lang w:val="es-ES"/>
              </w:rPr>
            </w:pPr>
            <w:r>
              <w:rPr>
                <w:lang w:val="es-ES"/>
              </w:rPr>
              <w:lastRenderedPageBreak/>
              <w:t xml:space="preserve">Las Partes Garantizadas, </w:t>
            </w:r>
            <w:r w:rsidRPr="00B125A9">
              <w:rPr>
                <w:lang w:val="es-ES"/>
              </w:rPr>
              <w:t>presente</w:t>
            </w:r>
            <w:r>
              <w:rPr>
                <w:lang w:val="es-ES"/>
              </w:rPr>
              <w:t>s</w:t>
            </w:r>
            <w:r w:rsidRPr="00B125A9">
              <w:rPr>
                <w:lang w:val="es-ES"/>
              </w:rPr>
              <w:t xml:space="preserve"> en este acto, acepta</w:t>
            </w:r>
            <w:r>
              <w:rPr>
                <w:lang w:val="es-ES"/>
              </w:rPr>
              <w:t>n</w:t>
            </w:r>
            <w:r w:rsidRPr="00B125A9">
              <w:rPr>
                <w:lang w:val="es-ES"/>
              </w:rPr>
              <w:t xml:space="preserve"> la extensión de la</w:t>
            </w:r>
            <w:r>
              <w:rPr>
                <w:lang w:val="es-ES"/>
              </w:rPr>
              <w:t>s</w:t>
            </w:r>
            <w:r w:rsidRPr="00B125A9">
              <w:rPr>
                <w:lang w:val="es-ES"/>
              </w:rPr>
              <w:t xml:space="preserve"> Prenda</w:t>
            </w:r>
            <w:r>
              <w:rPr>
                <w:lang w:val="es-ES"/>
              </w:rPr>
              <w:t>s</w:t>
            </w:r>
            <w:r w:rsidRPr="00B125A9">
              <w:rPr>
                <w:lang w:val="es-ES"/>
              </w:rPr>
              <w:t xml:space="preserve"> </w:t>
            </w:r>
            <w:r>
              <w:rPr>
                <w:lang w:val="es-ES"/>
              </w:rPr>
              <w:t>prevista en esta Cláusula.</w:t>
            </w:r>
          </w:p>
        </w:tc>
        <w:tc>
          <w:tcPr>
            <w:tcW w:w="2500" w:type="pct"/>
            <w:shd w:val="clear" w:color="auto" w:fill="auto"/>
          </w:tcPr>
          <w:p w14:paraId="57AAAD36" w14:textId="53697CD5" w:rsidR="00465335" w:rsidRPr="00CF1CFA" w:rsidRDefault="00465335" w:rsidP="00465335">
            <w:pPr>
              <w:pStyle w:val="AOGenNum1Para"/>
              <w:keepNext w:val="0"/>
              <w:widowControl w:val="0"/>
              <w:rPr>
                <w:b w:val="0"/>
                <w:bCs/>
              </w:rPr>
            </w:pPr>
            <w:r>
              <w:rPr>
                <w:rFonts w:eastAsia="Times New Roman"/>
                <w:b w:val="0"/>
              </w:rPr>
              <w:t>The Secured Parties hereby accept</w:t>
            </w:r>
            <w:r w:rsidRPr="001462E0">
              <w:rPr>
                <w:rFonts w:eastAsia="Times New Roman"/>
                <w:b w:val="0"/>
              </w:rPr>
              <w:t xml:space="preserve"> the extension of the </w:t>
            </w:r>
            <w:r>
              <w:rPr>
                <w:rFonts w:eastAsia="Times New Roman"/>
                <w:b w:val="0"/>
              </w:rPr>
              <w:t>Pledges referred to this Clause</w:t>
            </w:r>
            <w:r w:rsidRPr="001462E0">
              <w:rPr>
                <w:rFonts w:eastAsia="Times New Roman"/>
                <w:b w:val="0"/>
              </w:rPr>
              <w:t>.</w:t>
            </w:r>
          </w:p>
        </w:tc>
      </w:tr>
      <w:tr w:rsidR="00465335" w14:paraId="4EB5422C" w14:textId="77777777" w:rsidTr="00F47A3C">
        <w:trPr>
          <w:trHeight w:val="81"/>
          <w:jc w:val="center"/>
        </w:trPr>
        <w:tc>
          <w:tcPr>
            <w:tcW w:w="2500" w:type="pct"/>
          </w:tcPr>
          <w:p w14:paraId="7B56CCD7" w14:textId="77777777" w:rsidR="00465335" w:rsidRDefault="00465335" w:rsidP="00465335">
            <w:pPr>
              <w:pStyle w:val="AOHead1"/>
              <w:keepNext w:val="0"/>
              <w:widowControl w:val="0"/>
              <w:rPr>
                <w:lang w:val="es-ES"/>
              </w:rPr>
            </w:pPr>
            <w:bookmarkStart w:id="73" w:name="_Toc459743502"/>
            <w:bookmarkStart w:id="74" w:name="_Toc482135439"/>
            <w:bookmarkStart w:id="75" w:name="_Toc509941261"/>
            <w:bookmarkStart w:id="76" w:name="_Toc509941306"/>
            <w:bookmarkStart w:id="77" w:name="_Toc515511660"/>
            <w:bookmarkStart w:id="78" w:name="_Toc62666627"/>
            <w:bookmarkStart w:id="79" w:name="_Toc198658671"/>
            <w:r w:rsidRPr="00361BB9">
              <w:rPr>
                <w:lang w:val="es-ES"/>
              </w:rPr>
              <w:t>Ratificación de la</w:t>
            </w:r>
            <w:r>
              <w:rPr>
                <w:lang w:val="es-ES"/>
              </w:rPr>
              <w:t>s P</w:t>
            </w:r>
            <w:r w:rsidRPr="00361BB9">
              <w:rPr>
                <w:lang w:val="es-ES"/>
              </w:rPr>
              <w:t>renda</w:t>
            </w:r>
            <w:bookmarkEnd w:id="73"/>
            <w:bookmarkEnd w:id="74"/>
            <w:bookmarkEnd w:id="75"/>
            <w:bookmarkEnd w:id="76"/>
            <w:bookmarkEnd w:id="77"/>
            <w:bookmarkEnd w:id="78"/>
            <w:r>
              <w:rPr>
                <w:lang w:val="es-ES"/>
              </w:rPr>
              <w:t>s</w:t>
            </w:r>
            <w:bookmarkEnd w:id="79"/>
          </w:p>
        </w:tc>
        <w:tc>
          <w:tcPr>
            <w:tcW w:w="2500" w:type="pct"/>
            <w:shd w:val="clear" w:color="auto" w:fill="auto"/>
          </w:tcPr>
          <w:p w14:paraId="4BFD47B8" w14:textId="77777777" w:rsidR="00465335" w:rsidRDefault="00465335" w:rsidP="00465335">
            <w:pPr>
              <w:pStyle w:val="AOGenNum1"/>
              <w:keepNext w:val="0"/>
              <w:widowControl w:val="0"/>
            </w:pPr>
            <w:bookmarkStart w:id="80" w:name="_Toc198658700"/>
            <w:r>
              <w:t>Ratification of the Pledges</w:t>
            </w:r>
            <w:bookmarkEnd w:id="80"/>
          </w:p>
        </w:tc>
      </w:tr>
      <w:tr w:rsidR="00465335" w14:paraId="5A30E667" w14:textId="77777777" w:rsidTr="00F47A3C">
        <w:trPr>
          <w:trHeight w:val="81"/>
          <w:jc w:val="center"/>
        </w:trPr>
        <w:tc>
          <w:tcPr>
            <w:tcW w:w="2500" w:type="pct"/>
          </w:tcPr>
          <w:p w14:paraId="1AB87425" w14:textId="72B05A99" w:rsidR="00465335" w:rsidRPr="007D0CB6" w:rsidRDefault="00465335" w:rsidP="00465335">
            <w:pPr>
              <w:pStyle w:val="AOHead2"/>
              <w:keepNext w:val="0"/>
              <w:widowControl w:val="0"/>
              <w:rPr>
                <w:b w:val="0"/>
                <w:lang w:val="es-ES"/>
              </w:rPr>
            </w:pPr>
            <w:r w:rsidRPr="00920DB8">
              <w:rPr>
                <w:b w:val="0"/>
                <w:lang w:val="es-ES"/>
              </w:rPr>
              <w:t>Los</w:t>
            </w:r>
            <w:r w:rsidRPr="007D0CB6">
              <w:rPr>
                <w:b w:val="0"/>
                <w:lang w:val="es-ES"/>
              </w:rPr>
              <w:t xml:space="preserve"> </w:t>
            </w:r>
            <w:proofErr w:type="spellStart"/>
            <w:r w:rsidRPr="007D0CB6">
              <w:rPr>
                <w:b w:val="0"/>
                <w:lang w:val="es-ES"/>
              </w:rPr>
              <w:t>Pignorante</w:t>
            </w:r>
            <w:r>
              <w:rPr>
                <w:b w:val="0"/>
                <w:lang w:val="es-ES"/>
              </w:rPr>
              <w:t>s</w:t>
            </w:r>
            <w:proofErr w:type="spellEnd"/>
            <w:r w:rsidRPr="007D0CB6">
              <w:rPr>
                <w:b w:val="0"/>
                <w:lang w:val="es-ES"/>
              </w:rPr>
              <w:t xml:space="preserve"> ratifica</w:t>
            </w:r>
            <w:r>
              <w:rPr>
                <w:b w:val="0"/>
                <w:lang w:val="es-ES"/>
              </w:rPr>
              <w:t>n</w:t>
            </w:r>
            <w:r w:rsidRPr="007D0CB6">
              <w:rPr>
                <w:b w:val="0"/>
                <w:lang w:val="es-ES"/>
              </w:rPr>
              <w:t xml:space="preserve"> </w:t>
            </w:r>
            <w:r w:rsidRPr="00674C5B">
              <w:rPr>
                <w:b w:val="0"/>
                <w:lang w:val="es-ES"/>
              </w:rPr>
              <w:t>expresamente</w:t>
            </w:r>
            <w:r w:rsidRPr="007D0CB6">
              <w:rPr>
                <w:b w:val="0"/>
                <w:lang w:val="es"/>
              </w:rPr>
              <w:t xml:space="preserve"> a todos los efectos la</w:t>
            </w:r>
            <w:r>
              <w:rPr>
                <w:b w:val="0"/>
                <w:lang w:val="es"/>
              </w:rPr>
              <w:t>s</w:t>
            </w:r>
            <w:r w:rsidRPr="007D0CB6">
              <w:rPr>
                <w:b w:val="0"/>
                <w:lang w:val="es"/>
              </w:rPr>
              <w:t xml:space="preserve"> </w:t>
            </w:r>
            <w:r w:rsidRPr="007D0CB6">
              <w:rPr>
                <w:b w:val="0"/>
                <w:lang w:val="es-ES"/>
              </w:rPr>
              <w:t>Prenda</w:t>
            </w:r>
            <w:r>
              <w:rPr>
                <w:b w:val="0"/>
                <w:lang w:val="es-ES"/>
              </w:rPr>
              <w:t>s</w:t>
            </w:r>
            <w:r w:rsidRPr="007D0CB6">
              <w:rPr>
                <w:b w:val="0"/>
                <w:lang w:val="es"/>
              </w:rPr>
              <w:t>, que seguirá</w:t>
            </w:r>
            <w:r>
              <w:rPr>
                <w:b w:val="0"/>
                <w:lang w:val="es"/>
              </w:rPr>
              <w:t>n</w:t>
            </w:r>
            <w:r w:rsidRPr="007D0CB6">
              <w:rPr>
                <w:b w:val="0"/>
                <w:lang w:val="es"/>
              </w:rPr>
              <w:t xml:space="preserve"> sujeta</w:t>
            </w:r>
            <w:r>
              <w:rPr>
                <w:b w:val="0"/>
                <w:lang w:val="es"/>
              </w:rPr>
              <w:t>s</w:t>
            </w:r>
            <w:r w:rsidRPr="007D0CB6">
              <w:rPr>
                <w:b w:val="0"/>
                <w:lang w:val="es"/>
              </w:rPr>
              <w:t xml:space="preserve"> a los términos y condiciones previstos en la</w:t>
            </w:r>
            <w:r>
              <w:rPr>
                <w:b w:val="0"/>
                <w:lang w:val="es"/>
              </w:rPr>
              <w:t>s</w:t>
            </w:r>
            <w:r w:rsidRPr="007D0CB6">
              <w:rPr>
                <w:b w:val="0"/>
                <w:lang w:val="es"/>
              </w:rPr>
              <w:t xml:space="preserve"> Póliza</w:t>
            </w:r>
            <w:r>
              <w:rPr>
                <w:b w:val="0"/>
                <w:lang w:val="es"/>
              </w:rPr>
              <w:t>s</w:t>
            </w:r>
            <w:r w:rsidRPr="007D0CB6">
              <w:rPr>
                <w:b w:val="0"/>
                <w:lang w:val="es"/>
              </w:rPr>
              <w:t xml:space="preserve"> de Prenda y que permanecerá</w:t>
            </w:r>
            <w:r>
              <w:rPr>
                <w:b w:val="0"/>
                <w:lang w:val="es"/>
              </w:rPr>
              <w:t>n</w:t>
            </w:r>
            <w:r w:rsidRPr="007D0CB6">
              <w:rPr>
                <w:b w:val="0"/>
                <w:lang w:val="es"/>
              </w:rPr>
              <w:t xml:space="preserve"> en pleno vigor y efectos, en lo no expresamente modificado por esta Póliza</w:t>
            </w:r>
            <w:r w:rsidRPr="008413C1">
              <w:rPr>
                <w:lang w:val="es"/>
              </w:rPr>
              <w:t xml:space="preserve"> </w:t>
            </w:r>
            <w:r w:rsidRPr="00C25127">
              <w:rPr>
                <w:b w:val="0"/>
                <w:lang w:val="es"/>
              </w:rPr>
              <w:t>y confirma</w:t>
            </w:r>
            <w:r>
              <w:rPr>
                <w:b w:val="0"/>
                <w:lang w:val="es"/>
              </w:rPr>
              <w:t>n</w:t>
            </w:r>
            <w:r w:rsidRPr="00C25127">
              <w:rPr>
                <w:b w:val="0"/>
                <w:lang w:val="es"/>
              </w:rPr>
              <w:t xml:space="preserve"> expresamente que la</w:t>
            </w:r>
            <w:r>
              <w:rPr>
                <w:b w:val="0"/>
                <w:lang w:val="es"/>
              </w:rPr>
              <w:t>s</w:t>
            </w:r>
            <w:r w:rsidRPr="00C25127">
              <w:rPr>
                <w:b w:val="0"/>
                <w:lang w:val="es"/>
              </w:rPr>
              <w:t xml:space="preserve"> Prenda</w:t>
            </w:r>
            <w:r>
              <w:rPr>
                <w:b w:val="0"/>
                <w:lang w:val="es"/>
              </w:rPr>
              <w:t xml:space="preserve">s (i) </w:t>
            </w:r>
            <w:r w:rsidRPr="00C25127">
              <w:rPr>
                <w:b w:val="0"/>
                <w:lang w:val="es"/>
              </w:rPr>
              <w:t>garantiza</w:t>
            </w:r>
            <w:r>
              <w:rPr>
                <w:b w:val="0"/>
                <w:lang w:val="es"/>
              </w:rPr>
              <w:t>n</w:t>
            </w:r>
            <w:r w:rsidRPr="00C25127">
              <w:rPr>
                <w:b w:val="0"/>
                <w:lang w:val="es"/>
              </w:rPr>
              <w:t xml:space="preserve"> las Obligaciones Garantizadas, incluyendo sin carácter limitativo las Obligaciones Garantizadas </w:t>
            </w:r>
            <w:r w:rsidRPr="00733C67">
              <w:rPr>
                <w:b w:val="0"/>
                <w:lang w:val="es"/>
              </w:rPr>
              <w:t>Adicionales</w:t>
            </w:r>
            <w:r>
              <w:rPr>
                <w:b w:val="0"/>
                <w:lang w:val="es"/>
              </w:rPr>
              <w:t xml:space="preserve"> de conformidad con los términos de la presente Póliza</w:t>
            </w:r>
            <w:r w:rsidRPr="00733C67">
              <w:rPr>
                <w:b w:val="0"/>
                <w:lang w:val="es"/>
              </w:rPr>
              <w:t xml:space="preserve"> y (</w:t>
            </w:r>
            <w:proofErr w:type="spellStart"/>
            <w:r w:rsidRPr="00733C67">
              <w:rPr>
                <w:b w:val="0"/>
                <w:lang w:val="es"/>
              </w:rPr>
              <w:t>ii</w:t>
            </w:r>
            <w:proofErr w:type="spellEnd"/>
            <w:r w:rsidRPr="00733C67">
              <w:rPr>
                <w:b w:val="0"/>
                <w:lang w:val="es"/>
              </w:rPr>
              <w:t xml:space="preserve">) se extienden </w:t>
            </w:r>
            <w:r>
              <w:rPr>
                <w:b w:val="0"/>
                <w:lang w:val="es"/>
              </w:rPr>
              <w:t>a l</w:t>
            </w:r>
            <w:r w:rsidRPr="00316E16">
              <w:rPr>
                <w:b w:val="0"/>
                <w:lang w:val="es"/>
              </w:rPr>
              <w:t>as Entidades Financiadoras ACF 2025, a l</w:t>
            </w:r>
            <w:r>
              <w:rPr>
                <w:b w:val="0"/>
                <w:lang w:val="es"/>
              </w:rPr>
              <w:t>as</w:t>
            </w:r>
            <w:r w:rsidRPr="00316E16">
              <w:rPr>
                <w:b w:val="0"/>
                <w:lang w:val="es"/>
              </w:rPr>
              <w:t xml:space="preserve"> </w:t>
            </w:r>
            <w:r>
              <w:rPr>
                <w:b w:val="0"/>
                <w:lang w:val="es"/>
              </w:rPr>
              <w:t xml:space="preserve">Nuevas </w:t>
            </w:r>
            <w:r w:rsidRPr="00316E16">
              <w:rPr>
                <w:b w:val="0"/>
                <w:lang w:val="es"/>
              </w:rPr>
              <w:t>Comprador</w:t>
            </w:r>
            <w:r>
              <w:rPr>
                <w:b w:val="0"/>
                <w:lang w:val="es"/>
              </w:rPr>
              <w:t>a</w:t>
            </w:r>
            <w:r w:rsidRPr="00316E16">
              <w:rPr>
                <w:b w:val="0"/>
                <w:lang w:val="es"/>
              </w:rPr>
              <w:t>s de Bonos 2025</w:t>
            </w:r>
            <w:r>
              <w:rPr>
                <w:b w:val="0"/>
                <w:lang w:val="es"/>
              </w:rPr>
              <w:t xml:space="preserve"> y a las Nuevas Entidades de Cobertura</w:t>
            </w:r>
            <w:r w:rsidRPr="00EB04A4">
              <w:rPr>
                <w:b w:val="0"/>
                <w:lang w:val="es"/>
              </w:rPr>
              <w:t>.</w:t>
            </w:r>
          </w:p>
        </w:tc>
        <w:tc>
          <w:tcPr>
            <w:tcW w:w="2500" w:type="pct"/>
            <w:shd w:val="clear" w:color="auto" w:fill="auto"/>
          </w:tcPr>
          <w:p w14:paraId="314C60F8" w14:textId="408A6254" w:rsidR="00465335" w:rsidRDefault="00465335" w:rsidP="00465335">
            <w:pPr>
              <w:pStyle w:val="AOGenNum1Para"/>
              <w:keepNext w:val="0"/>
              <w:widowControl w:val="0"/>
              <w:rPr>
                <w:b w:val="0"/>
                <w:lang w:val="en-US"/>
              </w:rPr>
            </w:pPr>
            <w:r>
              <w:rPr>
                <w:b w:val="0"/>
              </w:rPr>
              <w:t>The Pledgors expressly ratify</w:t>
            </w:r>
            <w:r w:rsidRPr="00C14B12">
              <w:rPr>
                <w:b w:val="0"/>
              </w:rPr>
              <w:t xml:space="preserve"> the Pledge</w:t>
            </w:r>
            <w:r>
              <w:rPr>
                <w:b w:val="0"/>
              </w:rPr>
              <w:t>s</w:t>
            </w:r>
            <w:r w:rsidRPr="00C14B12">
              <w:rPr>
                <w:b w:val="0"/>
              </w:rPr>
              <w:t xml:space="preserve"> to all the purposes, which shall remain subject to </w:t>
            </w:r>
            <w:r>
              <w:rPr>
                <w:b w:val="0"/>
              </w:rPr>
              <w:t>the</w:t>
            </w:r>
            <w:r w:rsidRPr="00C14B12">
              <w:rPr>
                <w:b w:val="0"/>
              </w:rPr>
              <w:t xml:space="preserve"> terms and conditions</w:t>
            </w:r>
            <w:r>
              <w:rPr>
                <w:b w:val="0"/>
              </w:rPr>
              <w:t xml:space="preserve"> of the Deed of Pledge</w:t>
            </w:r>
            <w:r w:rsidRPr="00C14B12">
              <w:rPr>
                <w:b w:val="0"/>
              </w:rPr>
              <w:t xml:space="preserve"> and that shall be in full force and effect, in respect of those terms not expressly amended herein</w:t>
            </w:r>
            <w:r>
              <w:rPr>
                <w:b w:val="0"/>
              </w:rPr>
              <w:t xml:space="preserve"> </w:t>
            </w:r>
            <w:r w:rsidRPr="008413C1">
              <w:rPr>
                <w:b w:val="0"/>
              </w:rPr>
              <w:t xml:space="preserve">and expressly </w:t>
            </w:r>
            <w:r>
              <w:rPr>
                <w:rFonts w:eastAsia="Times New Roman"/>
                <w:b w:val="0"/>
              </w:rPr>
              <w:t>confirm</w:t>
            </w:r>
            <w:r w:rsidRPr="008413C1">
              <w:rPr>
                <w:rFonts w:eastAsia="Times New Roman"/>
                <w:b w:val="0"/>
              </w:rPr>
              <w:t xml:space="preserve"> that the Pledge</w:t>
            </w:r>
            <w:r>
              <w:rPr>
                <w:rFonts w:eastAsia="Times New Roman"/>
                <w:b w:val="0"/>
              </w:rPr>
              <w:t>s</w:t>
            </w:r>
            <w:r w:rsidRPr="008413C1">
              <w:rPr>
                <w:rFonts w:eastAsia="Times New Roman"/>
              </w:rPr>
              <w:t xml:space="preserve"> </w:t>
            </w:r>
            <w:r w:rsidRPr="009018D1">
              <w:rPr>
                <w:rFonts w:eastAsia="Times New Roman"/>
                <w:b w:val="0"/>
              </w:rPr>
              <w:t xml:space="preserve">(i) </w:t>
            </w:r>
            <w:r>
              <w:rPr>
                <w:rFonts w:eastAsia="Times New Roman"/>
                <w:b w:val="0"/>
              </w:rPr>
              <w:t>secure</w:t>
            </w:r>
            <w:r w:rsidRPr="008413C1">
              <w:rPr>
                <w:rFonts w:eastAsia="Times New Roman"/>
                <w:b w:val="0"/>
              </w:rPr>
              <w:t xml:space="preserve"> the </w:t>
            </w:r>
            <w:r>
              <w:rPr>
                <w:rFonts w:eastAsia="Times New Roman"/>
                <w:b w:val="0"/>
              </w:rPr>
              <w:t xml:space="preserve">Secured Obligations, including, but not limited to, the Additional Secured Obligations in accordance with the terms of this Deed; and (ii) are extended to </w:t>
            </w:r>
            <w:r w:rsidRPr="009018D1">
              <w:rPr>
                <w:b w:val="0"/>
              </w:rPr>
              <w:t xml:space="preserve">the </w:t>
            </w:r>
            <w:r w:rsidRPr="00D04DF4">
              <w:rPr>
                <w:b w:val="0"/>
              </w:rPr>
              <w:t>ACF Lenders 202</w:t>
            </w:r>
            <w:r>
              <w:rPr>
                <w:b w:val="0"/>
              </w:rPr>
              <w:t>5, to the New Note Purchasers 2025 and t</w:t>
            </w:r>
            <w:r w:rsidRPr="00D513C2">
              <w:rPr>
                <w:b w:val="0"/>
              </w:rPr>
              <w:t xml:space="preserve">o the New </w:t>
            </w:r>
            <w:r w:rsidRPr="00D513C2">
              <w:rPr>
                <w:b w:val="0"/>
                <w:color w:val="000000" w:themeColor="text1"/>
              </w:rPr>
              <w:t>Hedging Counterparties</w:t>
            </w:r>
            <w:r w:rsidRPr="00C705A9">
              <w:rPr>
                <w:b w:val="0"/>
              </w:rPr>
              <w:t>.</w:t>
            </w:r>
          </w:p>
        </w:tc>
      </w:tr>
      <w:tr w:rsidR="00465335" w14:paraId="4A07BDF6" w14:textId="77777777" w:rsidTr="00F47A3C">
        <w:trPr>
          <w:trHeight w:val="81"/>
          <w:jc w:val="center"/>
        </w:trPr>
        <w:tc>
          <w:tcPr>
            <w:tcW w:w="2500" w:type="pct"/>
          </w:tcPr>
          <w:p w14:paraId="2103F53B" w14:textId="77777777" w:rsidR="00465335" w:rsidRPr="000D619A" w:rsidRDefault="00465335" w:rsidP="00465335">
            <w:pPr>
              <w:pStyle w:val="AOHead2"/>
              <w:keepNext w:val="0"/>
              <w:widowControl w:val="0"/>
              <w:rPr>
                <w:b w:val="0"/>
                <w:lang w:val="es-ES"/>
              </w:rPr>
            </w:pPr>
            <w:r w:rsidRPr="00920DB8">
              <w:rPr>
                <w:b w:val="0"/>
                <w:lang w:val="es-ES"/>
              </w:rPr>
              <w:t>Los</w:t>
            </w:r>
            <w:r w:rsidRPr="007D0CB6">
              <w:rPr>
                <w:b w:val="0"/>
                <w:lang w:val="es-ES"/>
              </w:rPr>
              <w:t xml:space="preserve"> </w:t>
            </w:r>
            <w:proofErr w:type="spellStart"/>
            <w:r w:rsidRPr="007D0CB6">
              <w:rPr>
                <w:b w:val="0"/>
                <w:lang w:val="es-ES"/>
              </w:rPr>
              <w:t>Pignorante</w:t>
            </w:r>
            <w:r>
              <w:rPr>
                <w:b w:val="0"/>
                <w:lang w:val="es-ES"/>
              </w:rPr>
              <w:t>s</w:t>
            </w:r>
            <w:proofErr w:type="spellEnd"/>
            <w:r w:rsidRPr="007D0CB6">
              <w:rPr>
                <w:b w:val="0"/>
                <w:lang w:val="es-ES"/>
              </w:rPr>
              <w:t xml:space="preserve"> de forma expresa ratifica</w:t>
            </w:r>
            <w:r>
              <w:rPr>
                <w:b w:val="0"/>
                <w:lang w:val="es-ES"/>
              </w:rPr>
              <w:t>n</w:t>
            </w:r>
            <w:r w:rsidRPr="007D0CB6">
              <w:rPr>
                <w:b w:val="0"/>
                <w:lang w:val="es-ES"/>
              </w:rPr>
              <w:t xml:space="preserve"> en esta misma fecha las declaraciones y garantías realizadas en la</w:t>
            </w:r>
            <w:r>
              <w:rPr>
                <w:b w:val="0"/>
                <w:lang w:val="es-ES"/>
              </w:rPr>
              <w:t>s</w:t>
            </w:r>
            <w:r w:rsidRPr="007D0CB6">
              <w:rPr>
                <w:b w:val="0"/>
                <w:lang w:val="es-ES"/>
              </w:rPr>
              <w:t xml:space="preserve"> Póliza</w:t>
            </w:r>
            <w:r>
              <w:rPr>
                <w:b w:val="0"/>
                <w:lang w:val="es-ES"/>
              </w:rPr>
              <w:t>s</w:t>
            </w:r>
            <w:r w:rsidRPr="007D0CB6">
              <w:rPr>
                <w:b w:val="0"/>
                <w:lang w:val="es-ES"/>
              </w:rPr>
              <w:t xml:space="preserve"> de Prenda y ratifica</w:t>
            </w:r>
            <w:r>
              <w:rPr>
                <w:b w:val="0"/>
                <w:lang w:val="es-ES"/>
              </w:rPr>
              <w:t>n</w:t>
            </w:r>
            <w:r w:rsidRPr="007D0CB6">
              <w:rPr>
                <w:b w:val="0"/>
                <w:lang w:val="es-ES"/>
              </w:rPr>
              <w:t xml:space="preserve"> </w:t>
            </w:r>
            <w:r w:rsidRPr="00674C5B">
              <w:rPr>
                <w:b w:val="0"/>
                <w:snapToGrid w:val="0"/>
                <w:lang w:val="es"/>
              </w:rPr>
              <w:t>todas</w:t>
            </w:r>
            <w:r w:rsidRPr="007D0CB6">
              <w:rPr>
                <w:b w:val="0"/>
                <w:lang w:val="es-ES"/>
              </w:rPr>
              <w:t xml:space="preserve"> las obligaciones y los compromisos que le</w:t>
            </w:r>
            <w:r>
              <w:rPr>
                <w:b w:val="0"/>
                <w:lang w:val="es-ES"/>
              </w:rPr>
              <w:t>s</w:t>
            </w:r>
            <w:r w:rsidRPr="007D0CB6">
              <w:rPr>
                <w:b w:val="0"/>
                <w:lang w:val="es-ES"/>
              </w:rPr>
              <w:t xml:space="preserve"> corresponden bajo la</w:t>
            </w:r>
            <w:r>
              <w:rPr>
                <w:b w:val="0"/>
                <w:lang w:val="es-ES"/>
              </w:rPr>
              <w:t xml:space="preserve">s </w:t>
            </w:r>
            <w:r w:rsidRPr="007D0CB6">
              <w:rPr>
                <w:b w:val="0"/>
                <w:lang w:val="es-ES"/>
              </w:rPr>
              <w:t>misma.</w:t>
            </w:r>
          </w:p>
        </w:tc>
        <w:tc>
          <w:tcPr>
            <w:tcW w:w="2500" w:type="pct"/>
          </w:tcPr>
          <w:p w14:paraId="2FE39CEB" w14:textId="77777777" w:rsidR="00465335" w:rsidRPr="00CF1CFA" w:rsidRDefault="00465335" w:rsidP="00465335">
            <w:pPr>
              <w:pStyle w:val="AOGenNum1Para"/>
              <w:keepNext w:val="0"/>
              <w:widowControl w:val="0"/>
              <w:rPr>
                <w:b w:val="0"/>
              </w:rPr>
            </w:pPr>
            <w:r>
              <w:rPr>
                <w:b w:val="0"/>
              </w:rPr>
              <w:t xml:space="preserve">The Pledgors </w:t>
            </w:r>
            <w:r>
              <w:rPr>
                <w:b w:val="0"/>
                <w:noProof/>
                <w:lang w:val="en-US"/>
              </w:rPr>
              <w:t xml:space="preserve">expressly </w:t>
            </w:r>
            <w:r>
              <w:rPr>
                <w:b w:val="0"/>
              </w:rPr>
              <w:t>ratify</w:t>
            </w:r>
            <w:r w:rsidRPr="000B5C31">
              <w:rPr>
                <w:b w:val="0"/>
                <w:noProof/>
                <w:lang w:val="en-US"/>
              </w:rPr>
              <w:t xml:space="preserve"> on the date hereof the representations and guarantees made pursuant to the </w:t>
            </w:r>
            <w:r>
              <w:rPr>
                <w:b w:val="0"/>
                <w:noProof/>
                <w:lang w:val="en-US"/>
              </w:rPr>
              <w:t>Deeds of Pledge and ratify</w:t>
            </w:r>
            <w:r w:rsidRPr="000B5C31">
              <w:rPr>
                <w:b w:val="0"/>
                <w:noProof/>
                <w:lang w:val="en-US"/>
              </w:rPr>
              <w:t xml:space="preserve"> all the obligations and undertakings which correspond to </w:t>
            </w:r>
            <w:r>
              <w:rPr>
                <w:b w:val="0"/>
                <w:noProof/>
                <w:lang w:val="en-US"/>
              </w:rPr>
              <w:t>them</w:t>
            </w:r>
            <w:r w:rsidRPr="000B5C31">
              <w:rPr>
                <w:b w:val="0"/>
                <w:noProof/>
                <w:lang w:val="en-US"/>
              </w:rPr>
              <w:t xml:space="preserve"> thereunder.</w:t>
            </w:r>
          </w:p>
        </w:tc>
      </w:tr>
      <w:tr w:rsidR="00465335" w14:paraId="70A33FAE" w14:textId="77777777" w:rsidTr="00F47A3C">
        <w:trPr>
          <w:trHeight w:val="81"/>
          <w:jc w:val="center"/>
        </w:trPr>
        <w:tc>
          <w:tcPr>
            <w:tcW w:w="2500" w:type="pct"/>
          </w:tcPr>
          <w:p w14:paraId="260F50FF" w14:textId="77777777" w:rsidR="00465335" w:rsidRPr="007D0CB6" w:rsidRDefault="00465335" w:rsidP="00465335">
            <w:pPr>
              <w:pStyle w:val="AOHead2"/>
              <w:keepNext w:val="0"/>
              <w:widowControl w:val="0"/>
              <w:rPr>
                <w:b w:val="0"/>
                <w:lang w:val="es"/>
              </w:rPr>
            </w:pPr>
            <w:r>
              <w:rPr>
                <w:b w:val="0"/>
                <w:snapToGrid w:val="0"/>
                <w:lang w:val="es"/>
              </w:rPr>
              <w:t>El Agente de Garantías (en su propio nombre y en nombre y representación de las Partes Garantizadas de conformidad con lo dispuesto anteriormente) acepta</w:t>
            </w:r>
            <w:r w:rsidRPr="007D0CB6">
              <w:rPr>
                <w:b w:val="0"/>
                <w:snapToGrid w:val="0"/>
                <w:lang w:val="es"/>
              </w:rPr>
              <w:t xml:space="preserve"> por la presente la ratificación de la</w:t>
            </w:r>
            <w:r>
              <w:rPr>
                <w:b w:val="0"/>
                <w:snapToGrid w:val="0"/>
                <w:lang w:val="es"/>
              </w:rPr>
              <w:t>s</w:t>
            </w:r>
            <w:r w:rsidRPr="007D0CB6">
              <w:rPr>
                <w:b w:val="0"/>
                <w:snapToGrid w:val="0"/>
                <w:lang w:val="es"/>
              </w:rPr>
              <w:t xml:space="preserve"> Prenda</w:t>
            </w:r>
            <w:r>
              <w:rPr>
                <w:b w:val="0"/>
                <w:snapToGrid w:val="0"/>
                <w:lang w:val="es"/>
              </w:rPr>
              <w:t>s</w:t>
            </w:r>
            <w:r w:rsidRPr="007D0CB6">
              <w:rPr>
                <w:b w:val="0"/>
                <w:snapToGrid w:val="0"/>
                <w:lang w:val="es"/>
              </w:rPr>
              <w:t xml:space="preserve"> y de los términos y condiciones de la Póliza</w:t>
            </w:r>
            <w:r>
              <w:rPr>
                <w:b w:val="0"/>
                <w:snapToGrid w:val="0"/>
                <w:lang w:val="es"/>
              </w:rPr>
              <w:t>s</w:t>
            </w:r>
            <w:r w:rsidRPr="007D0CB6">
              <w:rPr>
                <w:b w:val="0"/>
                <w:snapToGrid w:val="0"/>
                <w:lang w:val="es"/>
              </w:rPr>
              <w:t xml:space="preserve"> de Prenda hecha</w:t>
            </w:r>
            <w:r>
              <w:rPr>
                <w:b w:val="0"/>
                <w:snapToGrid w:val="0"/>
                <w:lang w:val="es"/>
              </w:rPr>
              <w:t>s</w:t>
            </w:r>
            <w:r w:rsidRPr="007D0CB6">
              <w:rPr>
                <w:b w:val="0"/>
                <w:snapToGrid w:val="0"/>
                <w:lang w:val="es"/>
              </w:rPr>
              <w:t xml:space="preserve"> a su favor.</w:t>
            </w:r>
          </w:p>
        </w:tc>
        <w:tc>
          <w:tcPr>
            <w:tcW w:w="2500" w:type="pct"/>
          </w:tcPr>
          <w:p w14:paraId="34A31D2E" w14:textId="77777777" w:rsidR="00465335" w:rsidRPr="00CF1CFA" w:rsidRDefault="00465335" w:rsidP="00465335">
            <w:pPr>
              <w:pStyle w:val="AOGenNum1Para"/>
              <w:keepNext w:val="0"/>
              <w:widowControl w:val="0"/>
              <w:rPr>
                <w:b w:val="0"/>
                <w:noProof/>
              </w:rPr>
            </w:pPr>
            <w:r w:rsidRPr="001255CA">
              <w:rPr>
                <w:b w:val="0"/>
              </w:rPr>
              <w:t xml:space="preserve">The </w:t>
            </w:r>
            <w:r>
              <w:rPr>
                <w:b w:val="0"/>
              </w:rPr>
              <w:t xml:space="preserve">Security Trustee (on its own name and on the name and on behalf of the Secured Parties as set out above) </w:t>
            </w:r>
            <w:r w:rsidRPr="001255CA">
              <w:rPr>
                <w:b w:val="0"/>
              </w:rPr>
              <w:t>hereby accept</w:t>
            </w:r>
            <w:r>
              <w:rPr>
                <w:b w:val="0"/>
              </w:rPr>
              <w:t>s</w:t>
            </w:r>
            <w:r w:rsidRPr="001255CA">
              <w:rPr>
                <w:b w:val="0"/>
              </w:rPr>
              <w:t xml:space="preserve"> the ratification of the Pledge</w:t>
            </w:r>
            <w:r>
              <w:rPr>
                <w:b w:val="0"/>
              </w:rPr>
              <w:t>s</w:t>
            </w:r>
            <w:r w:rsidRPr="001255CA">
              <w:rPr>
                <w:b w:val="0"/>
              </w:rPr>
              <w:t xml:space="preserve"> </w:t>
            </w:r>
            <w:r>
              <w:rPr>
                <w:b w:val="0"/>
              </w:rPr>
              <w:t xml:space="preserve">and of the terms and conditions under the Deeds of Pledge </w:t>
            </w:r>
            <w:r w:rsidRPr="001255CA">
              <w:rPr>
                <w:b w:val="0"/>
              </w:rPr>
              <w:t xml:space="preserve">made in </w:t>
            </w:r>
            <w:r>
              <w:rPr>
                <w:b w:val="0"/>
              </w:rPr>
              <w:t>its</w:t>
            </w:r>
            <w:r w:rsidRPr="001255CA">
              <w:rPr>
                <w:b w:val="0"/>
              </w:rPr>
              <w:t xml:space="preserve"> favour.</w:t>
            </w:r>
          </w:p>
        </w:tc>
      </w:tr>
      <w:tr w:rsidR="00465335" w14:paraId="5430C3EF" w14:textId="77777777" w:rsidTr="00F47A3C">
        <w:trPr>
          <w:trHeight w:val="81"/>
          <w:jc w:val="center"/>
        </w:trPr>
        <w:tc>
          <w:tcPr>
            <w:tcW w:w="2500" w:type="pct"/>
          </w:tcPr>
          <w:p w14:paraId="41CEEB79" w14:textId="77777777" w:rsidR="00465335" w:rsidRPr="005E43B5" w:rsidRDefault="00465335" w:rsidP="00465335">
            <w:pPr>
              <w:pStyle w:val="AOHead2"/>
              <w:keepNext w:val="0"/>
              <w:widowControl w:val="0"/>
              <w:rPr>
                <w:b w:val="0"/>
                <w:lang w:val="es-ES"/>
              </w:rPr>
            </w:pPr>
            <w:bookmarkStart w:id="81" w:name="_Toc518655397"/>
            <w:r w:rsidRPr="005E43B5">
              <w:rPr>
                <w:b w:val="0"/>
                <w:lang w:val="es-ES"/>
              </w:rPr>
              <w:t xml:space="preserve">Las Partes acuerdan que </w:t>
            </w:r>
            <w:r>
              <w:rPr>
                <w:b w:val="0"/>
                <w:lang w:val="es-ES"/>
              </w:rPr>
              <w:t>la presente Póliza</w:t>
            </w:r>
            <w:r w:rsidRPr="005E43B5">
              <w:rPr>
                <w:b w:val="0"/>
                <w:lang w:val="es-ES"/>
              </w:rPr>
              <w:t xml:space="preserve"> junto con</w:t>
            </w:r>
            <w:r>
              <w:rPr>
                <w:b w:val="0"/>
                <w:lang w:val="es-ES"/>
              </w:rPr>
              <w:t xml:space="preserve"> las</w:t>
            </w:r>
            <w:r w:rsidRPr="005E43B5">
              <w:rPr>
                <w:b w:val="0"/>
                <w:lang w:val="es-ES"/>
              </w:rPr>
              <w:t xml:space="preserve"> </w:t>
            </w:r>
            <w:r>
              <w:rPr>
                <w:b w:val="0"/>
                <w:lang w:val="es-ES_tradnl"/>
              </w:rPr>
              <w:t>Pólizas de Prenda</w:t>
            </w:r>
            <w:r w:rsidRPr="005E43B5">
              <w:rPr>
                <w:b w:val="0"/>
                <w:lang w:val="es-ES_tradnl"/>
              </w:rPr>
              <w:t xml:space="preserve"> </w:t>
            </w:r>
            <w:r w:rsidRPr="005E43B5">
              <w:rPr>
                <w:b w:val="0"/>
                <w:lang w:val="es-ES"/>
              </w:rPr>
              <w:t>formará</w:t>
            </w:r>
            <w:r>
              <w:rPr>
                <w:b w:val="0"/>
                <w:lang w:val="es-ES"/>
              </w:rPr>
              <w:t>n</w:t>
            </w:r>
            <w:r w:rsidRPr="005E43B5">
              <w:rPr>
                <w:b w:val="0"/>
                <w:lang w:val="es-ES"/>
              </w:rPr>
              <w:t xml:space="preserve"> un único </w:t>
            </w:r>
            <w:r>
              <w:rPr>
                <w:b w:val="0"/>
                <w:lang w:val="es-ES"/>
              </w:rPr>
              <w:t>contrato</w:t>
            </w:r>
            <w:r w:rsidRPr="005E43B5">
              <w:rPr>
                <w:b w:val="0"/>
                <w:lang w:val="es-ES"/>
              </w:rPr>
              <w:t>.</w:t>
            </w:r>
            <w:bookmarkEnd w:id="81"/>
          </w:p>
        </w:tc>
        <w:tc>
          <w:tcPr>
            <w:tcW w:w="2500" w:type="pct"/>
          </w:tcPr>
          <w:p w14:paraId="3A2C6523" w14:textId="77777777" w:rsidR="00465335" w:rsidRPr="005E43B5" w:rsidRDefault="00465335" w:rsidP="00465335">
            <w:pPr>
              <w:pStyle w:val="AOGenNum1Para"/>
              <w:keepNext w:val="0"/>
              <w:widowControl w:val="0"/>
              <w:rPr>
                <w:b w:val="0"/>
              </w:rPr>
            </w:pPr>
            <w:r w:rsidRPr="005E43B5">
              <w:rPr>
                <w:b w:val="0"/>
              </w:rPr>
              <w:t xml:space="preserve">The Parties agree that this </w:t>
            </w:r>
            <w:r>
              <w:rPr>
                <w:b w:val="0"/>
              </w:rPr>
              <w:t>Deed</w:t>
            </w:r>
            <w:r w:rsidRPr="005E43B5">
              <w:rPr>
                <w:b w:val="0"/>
              </w:rPr>
              <w:t xml:space="preserve"> jointly with the </w:t>
            </w:r>
            <w:r>
              <w:rPr>
                <w:b w:val="0"/>
              </w:rPr>
              <w:t>Deeds of Pledge</w:t>
            </w:r>
            <w:r w:rsidRPr="005E43B5">
              <w:rPr>
                <w:b w:val="0"/>
              </w:rPr>
              <w:t xml:space="preserve"> shall be deemed to be one </w:t>
            </w:r>
            <w:r>
              <w:rPr>
                <w:b w:val="0"/>
              </w:rPr>
              <w:t>agreement</w:t>
            </w:r>
            <w:r w:rsidRPr="005E43B5">
              <w:rPr>
                <w:b w:val="0"/>
              </w:rPr>
              <w:t xml:space="preserve">. </w:t>
            </w:r>
          </w:p>
        </w:tc>
      </w:tr>
      <w:tr w:rsidR="00465335" w:rsidRPr="00574A78" w14:paraId="69469C50" w14:textId="77777777" w:rsidTr="00F47A3C">
        <w:trPr>
          <w:trHeight w:val="81"/>
          <w:jc w:val="center"/>
        </w:trPr>
        <w:tc>
          <w:tcPr>
            <w:tcW w:w="2500" w:type="pct"/>
          </w:tcPr>
          <w:p w14:paraId="6DD987F4" w14:textId="77777777" w:rsidR="00465335" w:rsidRPr="00E86F83" w:rsidRDefault="00465335" w:rsidP="00465335">
            <w:pPr>
              <w:pStyle w:val="AOHead2"/>
              <w:keepNext w:val="0"/>
              <w:widowControl w:val="0"/>
              <w:rPr>
                <w:b w:val="0"/>
                <w:lang w:val="es-ES"/>
              </w:rPr>
            </w:pPr>
            <w:r w:rsidRPr="00F258C8">
              <w:rPr>
                <w:b w:val="0"/>
                <w:lang w:val="es-ES"/>
              </w:rPr>
              <w:t xml:space="preserve">Adicionalmente, </w:t>
            </w:r>
            <w:r>
              <w:rPr>
                <w:b w:val="0"/>
                <w:lang w:val="es-ES"/>
              </w:rPr>
              <w:t xml:space="preserve">los </w:t>
            </w:r>
            <w:proofErr w:type="spellStart"/>
            <w:r>
              <w:rPr>
                <w:b w:val="0"/>
                <w:lang w:val="es-ES"/>
              </w:rPr>
              <w:t>Pignorantes</w:t>
            </w:r>
            <w:proofErr w:type="spellEnd"/>
            <w:r w:rsidRPr="00F258C8">
              <w:rPr>
                <w:b w:val="0"/>
                <w:lang w:val="es-ES"/>
              </w:rPr>
              <w:t xml:space="preserve"> se compromete</w:t>
            </w:r>
            <w:r>
              <w:rPr>
                <w:b w:val="0"/>
                <w:lang w:val="es-ES"/>
              </w:rPr>
              <w:t>n</w:t>
            </w:r>
            <w:r w:rsidRPr="00F258C8">
              <w:rPr>
                <w:b w:val="0"/>
                <w:lang w:val="es-ES"/>
              </w:rPr>
              <w:t xml:space="preserve"> a otorgar en la presente fecha y en unidad de acto con el otorgamiento de la presente Póliza, </w:t>
            </w:r>
            <w:r>
              <w:rPr>
                <w:b w:val="0"/>
                <w:lang w:val="es-ES"/>
              </w:rPr>
              <w:t>una escritura de ratificación de los Poderes Irrevocables</w:t>
            </w:r>
            <w:r w:rsidRPr="00070137">
              <w:rPr>
                <w:b w:val="0"/>
                <w:lang w:val="es-ES"/>
              </w:rPr>
              <w:t>.</w:t>
            </w:r>
          </w:p>
        </w:tc>
        <w:tc>
          <w:tcPr>
            <w:tcW w:w="2500" w:type="pct"/>
          </w:tcPr>
          <w:p w14:paraId="4D419D91" w14:textId="77777777" w:rsidR="00465335" w:rsidRPr="0019399F" w:rsidRDefault="00465335" w:rsidP="00465335">
            <w:pPr>
              <w:pStyle w:val="AOGenNum1Para"/>
              <w:keepNext w:val="0"/>
              <w:widowControl w:val="0"/>
              <w:rPr>
                <w:b w:val="0"/>
              </w:rPr>
            </w:pPr>
            <w:r w:rsidRPr="0019399F">
              <w:rPr>
                <w:b w:val="0"/>
              </w:rPr>
              <w:t xml:space="preserve">Additionally, </w:t>
            </w:r>
            <w:r>
              <w:rPr>
                <w:b w:val="0"/>
              </w:rPr>
              <w:t>the Pledgors</w:t>
            </w:r>
            <w:r w:rsidRPr="0019399F">
              <w:rPr>
                <w:b w:val="0"/>
              </w:rPr>
              <w:t xml:space="preserve"> undertake to grant on the date hereof and the same act as the granting of this Deed, a public deed of ratification of the Irrevocable Power</w:t>
            </w:r>
            <w:r>
              <w:rPr>
                <w:b w:val="0"/>
              </w:rPr>
              <w:t>s of Attorney</w:t>
            </w:r>
            <w:r w:rsidRPr="0019399F">
              <w:rPr>
                <w:b w:val="0"/>
              </w:rPr>
              <w:t>.</w:t>
            </w:r>
          </w:p>
        </w:tc>
      </w:tr>
      <w:tr w:rsidR="00465335" w:rsidRPr="007E14D7" w14:paraId="5EA46BEF" w14:textId="77777777" w:rsidTr="00F47A3C">
        <w:trPr>
          <w:trHeight w:val="81"/>
          <w:jc w:val="center"/>
        </w:trPr>
        <w:tc>
          <w:tcPr>
            <w:tcW w:w="2500" w:type="pct"/>
          </w:tcPr>
          <w:p w14:paraId="54E7A4B1" w14:textId="77777777" w:rsidR="00465335" w:rsidRDefault="00465335" w:rsidP="00465335">
            <w:pPr>
              <w:pStyle w:val="AOHead1"/>
              <w:keepNext w:val="0"/>
              <w:widowControl w:val="0"/>
              <w:rPr>
                <w:lang w:val="es-ES"/>
              </w:rPr>
            </w:pPr>
            <w:bookmarkStart w:id="82" w:name="_Toc62666628"/>
            <w:bookmarkStart w:id="83" w:name="_Toc198658672"/>
            <w:r>
              <w:rPr>
                <w:lang w:val="es-ES"/>
              </w:rPr>
              <w:t>Interpretación de las Pólizas de Prenda</w:t>
            </w:r>
            <w:bookmarkEnd w:id="82"/>
            <w:bookmarkEnd w:id="83"/>
          </w:p>
        </w:tc>
        <w:tc>
          <w:tcPr>
            <w:tcW w:w="2500" w:type="pct"/>
          </w:tcPr>
          <w:p w14:paraId="55A60F43" w14:textId="77777777" w:rsidR="00465335" w:rsidRPr="007E14D7" w:rsidRDefault="00465335" w:rsidP="00465335">
            <w:pPr>
              <w:pStyle w:val="AOGenNum1"/>
              <w:keepNext w:val="0"/>
              <w:widowControl w:val="0"/>
            </w:pPr>
            <w:bookmarkStart w:id="84" w:name="_Toc198658701"/>
            <w:r w:rsidRPr="007E14D7">
              <w:t>I</w:t>
            </w:r>
            <w:r>
              <w:t>nterpretation of the Deeds of Pledge</w:t>
            </w:r>
            <w:bookmarkEnd w:id="84"/>
            <w:r>
              <w:t xml:space="preserve"> </w:t>
            </w:r>
          </w:p>
        </w:tc>
      </w:tr>
      <w:tr w:rsidR="00465335" w:rsidRPr="007E14D7" w14:paraId="27FBA7AB" w14:textId="77777777" w:rsidTr="00F47A3C">
        <w:trPr>
          <w:trHeight w:val="81"/>
          <w:jc w:val="center"/>
        </w:trPr>
        <w:tc>
          <w:tcPr>
            <w:tcW w:w="2500" w:type="pct"/>
          </w:tcPr>
          <w:p w14:paraId="64CD8D8F" w14:textId="6A6A0A11" w:rsidR="00465335" w:rsidRDefault="00465335" w:rsidP="00465335">
            <w:pPr>
              <w:pStyle w:val="AOAltHead2"/>
              <w:widowControl w:val="0"/>
              <w:numPr>
                <w:ilvl w:val="1"/>
                <w:numId w:val="25"/>
              </w:numPr>
              <w:rPr>
                <w:snapToGrid w:val="0"/>
                <w:lang w:val="es-ES"/>
              </w:rPr>
            </w:pPr>
            <w:r>
              <w:rPr>
                <w:snapToGrid w:val="0"/>
                <w:lang w:val="es-ES"/>
              </w:rPr>
              <w:t xml:space="preserve">Las </w:t>
            </w:r>
            <w:r>
              <w:rPr>
                <w:bCs/>
                <w:lang w:val="es-ES"/>
              </w:rPr>
              <w:t>referencias</w:t>
            </w:r>
            <w:r>
              <w:rPr>
                <w:snapToGrid w:val="0"/>
                <w:lang w:val="es-ES"/>
              </w:rPr>
              <w:t xml:space="preserve"> realizadas a </w:t>
            </w:r>
            <w:r>
              <w:rPr>
                <w:lang w:val="es-ES"/>
              </w:rPr>
              <w:t>las “</w:t>
            </w:r>
            <w:r>
              <w:rPr>
                <w:i/>
                <w:iCs/>
                <w:lang w:val="es-ES"/>
              </w:rPr>
              <w:t>Obligaciones Garantizadas</w:t>
            </w:r>
            <w:r>
              <w:rPr>
                <w:lang w:val="es-ES"/>
              </w:rPr>
              <w:t xml:space="preserve">”, se entenderán hechas </w:t>
            </w:r>
            <w:r>
              <w:rPr>
                <w:lang w:val="es-ES_tradnl"/>
              </w:rPr>
              <w:t xml:space="preserve">a </w:t>
            </w:r>
            <w:r>
              <w:rPr>
                <w:lang w:val="es-ES"/>
              </w:rPr>
              <w:t xml:space="preserve">las Obligaciones </w:t>
            </w:r>
            <w:r>
              <w:rPr>
                <w:lang w:val="es-ES"/>
              </w:rPr>
              <w:lastRenderedPageBreak/>
              <w:t>Garantizadas (tal y como dicho término se define en las Pólizas de Prenda) tal y como las mismas sean modificadas, complementadas, extendidas, ratificadas y/o incrementadas en cada momento y en particular tal y como han sido extendidas para cubrir</w:t>
            </w:r>
            <w:r w:rsidRPr="005A3129">
              <w:rPr>
                <w:lang w:val="es"/>
              </w:rPr>
              <w:t xml:space="preserve"> las Obligaciones Garantizadas Adicionales</w:t>
            </w:r>
            <w:r>
              <w:rPr>
                <w:u w:color="0000FF"/>
                <w:lang w:val="es-ES"/>
              </w:rPr>
              <w:t>.</w:t>
            </w:r>
          </w:p>
        </w:tc>
        <w:tc>
          <w:tcPr>
            <w:tcW w:w="2500" w:type="pct"/>
          </w:tcPr>
          <w:p w14:paraId="3CBC89B5" w14:textId="6FEDEA50" w:rsidR="00465335" w:rsidRDefault="00465335" w:rsidP="00465335">
            <w:pPr>
              <w:pStyle w:val="AOGenNum1Para"/>
              <w:keepNext w:val="0"/>
              <w:widowControl w:val="0"/>
              <w:numPr>
                <w:ilvl w:val="1"/>
                <w:numId w:val="26"/>
              </w:numPr>
              <w:tabs>
                <w:tab w:val="clear" w:pos="720"/>
                <w:tab w:val="num" w:pos="1713"/>
              </w:tabs>
              <w:rPr>
                <w:b w:val="0"/>
              </w:rPr>
            </w:pPr>
            <w:r>
              <w:rPr>
                <w:b w:val="0"/>
              </w:rPr>
              <w:lastRenderedPageBreak/>
              <w:t>Any references to the “</w:t>
            </w:r>
            <w:r>
              <w:rPr>
                <w:b w:val="0"/>
                <w:i/>
                <w:iCs/>
              </w:rPr>
              <w:t>Secured Obligations</w:t>
            </w:r>
            <w:r>
              <w:rPr>
                <w:b w:val="0"/>
              </w:rPr>
              <w:t xml:space="preserve">” </w:t>
            </w:r>
            <w:r>
              <w:rPr>
                <w:rFonts w:eastAsia="Times New Roman"/>
                <w:b w:val="0"/>
              </w:rPr>
              <w:t>shall</w:t>
            </w:r>
            <w:r>
              <w:rPr>
                <w:b w:val="0"/>
              </w:rPr>
              <w:t xml:space="preserve"> be deemed to be made to the Secured Obligations (as this term in defined in the </w:t>
            </w:r>
            <w:r>
              <w:rPr>
                <w:b w:val="0"/>
              </w:rPr>
              <w:lastRenderedPageBreak/>
              <w:t xml:space="preserve">Deeds of </w:t>
            </w:r>
            <w:r w:rsidRPr="00AE4944">
              <w:rPr>
                <w:b w:val="0"/>
              </w:rPr>
              <w:t xml:space="preserve">Pledge) as </w:t>
            </w:r>
            <w:r>
              <w:rPr>
                <w:b w:val="0"/>
              </w:rPr>
              <w:t>it</w:t>
            </w:r>
            <w:r w:rsidRPr="00AE4944">
              <w:rPr>
                <w:b w:val="0"/>
              </w:rPr>
              <w:t xml:space="preserve"> ha</w:t>
            </w:r>
            <w:r>
              <w:rPr>
                <w:b w:val="0"/>
              </w:rPr>
              <w:t>s</w:t>
            </w:r>
            <w:r w:rsidRPr="00AE4944">
              <w:rPr>
                <w:b w:val="0"/>
              </w:rPr>
              <w:t xml:space="preserve"> been amended, supplemented</w:t>
            </w:r>
            <w:r>
              <w:rPr>
                <w:b w:val="0"/>
              </w:rPr>
              <w:t>, extended, ratified</w:t>
            </w:r>
            <w:r w:rsidRPr="00AE4944">
              <w:rPr>
                <w:b w:val="0"/>
              </w:rPr>
              <w:t xml:space="preserve"> and/or increased from time to time </w:t>
            </w:r>
            <w:proofErr w:type="gramStart"/>
            <w:r w:rsidRPr="00AE4944">
              <w:rPr>
                <w:b w:val="0"/>
              </w:rPr>
              <w:t xml:space="preserve">and </w:t>
            </w:r>
            <w:r w:rsidRPr="008908F4">
              <w:rPr>
                <w:b w:val="0"/>
              </w:rPr>
              <w:t xml:space="preserve">in particular, </w:t>
            </w:r>
            <w:r w:rsidRPr="00AE4944">
              <w:rPr>
                <w:b w:val="0"/>
              </w:rPr>
              <w:t>as</w:t>
            </w:r>
            <w:proofErr w:type="gramEnd"/>
            <w:r w:rsidRPr="00AE4944">
              <w:rPr>
                <w:b w:val="0"/>
              </w:rPr>
              <w:t xml:space="preserve"> </w:t>
            </w:r>
            <w:r>
              <w:rPr>
                <w:b w:val="0"/>
              </w:rPr>
              <w:t>it</w:t>
            </w:r>
            <w:r w:rsidRPr="00AE4944">
              <w:rPr>
                <w:b w:val="0"/>
              </w:rPr>
              <w:t xml:space="preserve"> ha</w:t>
            </w:r>
            <w:r>
              <w:rPr>
                <w:b w:val="0"/>
              </w:rPr>
              <w:t>s</w:t>
            </w:r>
            <w:r w:rsidRPr="00AE4944">
              <w:rPr>
                <w:b w:val="0"/>
              </w:rPr>
              <w:t xml:space="preserve"> been </w:t>
            </w:r>
            <w:r>
              <w:rPr>
                <w:b w:val="0"/>
              </w:rPr>
              <w:t xml:space="preserve">extended to cover the </w:t>
            </w:r>
            <w:r>
              <w:rPr>
                <w:rFonts w:eastAsia="Times New Roman"/>
                <w:b w:val="0"/>
              </w:rPr>
              <w:t>Additional Secured Obligations</w:t>
            </w:r>
            <w:r>
              <w:rPr>
                <w:b w:val="0"/>
              </w:rPr>
              <w:t>.</w:t>
            </w:r>
          </w:p>
        </w:tc>
      </w:tr>
      <w:tr w:rsidR="00465335" w:rsidRPr="007E14D7" w14:paraId="110ED69A" w14:textId="77777777" w:rsidTr="00F47A3C">
        <w:trPr>
          <w:trHeight w:val="81"/>
          <w:jc w:val="center"/>
        </w:trPr>
        <w:tc>
          <w:tcPr>
            <w:tcW w:w="2500" w:type="pct"/>
          </w:tcPr>
          <w:p w14:paraId="7C5C0676" w14:textId="05645141" w:rsidR="00465335" w:rsidRPr="00D550A1" w:rsidRDefault="00465335" w:rsidP="00465335">
            <w:pPr>
              <w:pStyle w:val="AOAltHead2"/>
              <w:widowControl w:val="0"/>
              <w:numPr>
                <w:ilvl w:val="0"/>
                <w:numId w:val="0"/>
              </w:numPr>
              <w:ind w:left="720"/>
              <w:rPr>
                <w:lang w:val="es-ES"/>
              </w:rPr>
            </w:pPr>
            <w:r w:rsidRPr="00824830">
              <w:rPr>
                <w:snapToGrid w:val="0"/>
                <w:lang w:val="es-ES"/>
              </w:rPr>
              <w:lastRenderedPageBreak/>
              <w:t>L</w:t>
            </w:r>
            <w:r w:rsidRPr="00D550A1">
              <w:rPr>
                <w:snapToGrid w:val="0"/>
                <w:lang w:val="es"/>
              </w:rPr>
              <w:t xml:space="preserve">as </w:t>
            </w:r>
            <w:r w:rsidRPr="00824830">
              <w:rPr>
                <w:snapToGrid w:val="0"/>
                <w:lang w:val="es-ES"/>
              </w:rPr>
              <w:t>referencias</w:t>
            </w:r>
            <w:r w:rsidRPr="00D550A1">
              <w:rPr>
                <w:snapToGrid w:val="0"/>
                <w:lang w:val="es"/>
              </w:rPr>
              <w:t xml:space="preserve"> realizadas a </w:t>
            </w:r>
            <w:r w:rsidRPr="00D550A1">
              <w:rPr>
                <w:lang w:val="es-ES"/>
              </w:rPr>
              <w:t>los “</w:t>
            </w:r>
            <w:r w:rsidRPr="00D550A1">
              <w:rPr>
                <w:i/>
                <w:lang w:val="es-ES"/>
              </w:rPr>
              <w:t>Documentos Garantizados</w:t>
            </w:r>
            <w:r w:rsidRPr="00D550A1">
              <w:rPr>
                <w:lang w:val="es-ES"/>
              </w:rPr>
              <w:t xml:space="preserve">” se entenderán realizadas a los Documentos Garantizados tal y </w:t>
            </w:r>
            <w:r w:rsidRPr="00D550A1">
              <w:rPr>
                <w:noProof/>
                <w:lang w:val="es-ES_tradnl"/>
              </w:rPr>
              <w:t>como se definen en esta Póliza</w:t>
            </w:r>
            <w:r>
              <w:rPr>
                <w:noProof/>
                <w:lang w:val="es-ES_tradnl"/>
              </w:rPr>
              <w:t xml:space="preserve"> incluyendo, sin limitación </w:t>
            </w:r>
            <w:r>
              <w:rPr>
                <w:lang w:val="es-ES"/>
              </w:rPr>
              <w:t xml:space="preserve">el </w:t>
            </w:r>
            <w:r w:rsidRPr="00216294">
              <w:rPr>
                <w:lang w:val="es-ES"/>
              </w:rPr>
              <w:t>Contrato de Crédito Autorizado 2025, el Contrato de</w:t>
            </w:r>
            <w:r w:rsidRPr="00602517">
              <w:rPr>
                <w:lang w:val="es-ES"/>
              </w:rPr>
              <w:t xml:space="preserve"> </w:t>
            </w:r>
            <w:r w:rsidRPr="00216294">
              <w:rPr>
                <w:lang w:val="es-ES"/>
              </w:rPr>
              <w:t>Compra de Instrumentos de Deuda PP 2025</w:t>
            </w:r>
            <w:r>
              <w:rPr>
                <w:lang w:val="es-ES"/>
              </w:rPr>
              <w:t xml:space="preserve">, </w:t>
            </w:r>
            <w:r w:rsidRPr="00216294">
              <w:rPr>
                <w:lang w:val="es-ES"/>
              </w:rPr>
              <w:t>la Propuesta STID 2025</w:t>
            </w:r>
            <w:r>
              <w:rPr>
                <w:lang w:val="es-ES"/>
              </w:rPr>
              <w:t xml:space="preserve">, el </w:t>
            </w:r>
            <w:r w:rsidRPr="00553B6D">
              <w:rPr>
                <w:lang w:val="es-ES"/>
              </w:rPr>
              <w:t xml:space="preserve">Contrato de Novación y Refundición </w:t>
            </w:r>
            <w:r w:rsidRPr="00553B6D">
              <w:rPr>
                <w:lang w:val="es-ES" w:eastAsia="es-ES"/>
              </w:rPr>
              <w:t xml:space="preserve">2025 </w:t>
            </w:r>
            <w:r w:rsidRPr="00553B6D">
              <w:rPr>
                <w:lang w:val="es-ES"/>
              </w:rPr>
              <w:t>y los Nuevos</w:t>
            </w:r>
            <w:r>
              <w:rPr>
                <w:lang w:val="es-ES"/>
              </w:rPr>
              <w:t xml:space="preserve"> Contratos de Cobertura</w:t>
            </w:r>
            <w:r w:rsidRPr="005465BE">
              <w:rPr>
                <w:snapToGrid w:val="0"/>
                <w:lang w:val="es"/>
              </w:rPr>
              <w:t>.</w:t>
            </w:r>
          </w:p>
        </w:tc>
        <w:tc>
          <w:tcPr>
            <w:tcW w:w="2500" w:type="pct"/>
          </w:tcPr>
          <w:p w14:paraId="7170D7AC" w14:textId="54062CF3" w:rsidR="00465335" w:rsidRPr="00824830" w:rsidRDefault="00465335" w:rsidP="00465335">
            <w:pPr>
              <w:pStyle w:val="AOGenNum1Para"/>
              <w:keepNext w:val="0"/>
              <w:widowControl w:val="0"/>
              <w:numPr>
                <w:ilvl w:val="0"/>
                <w:numId w:val="0"/>
              </w:numPr>
              <w:ind w:left="720"/>
              <w:rPr>
                <w:b w:val="0"/>
              </w:rPr>
            </w:pPr>
            <w:r w:rsidRPr="00824830">
              <w:rPr>
                <w:b w:val="0"/>
              </w:rPr>
              <w:t>All references to the “</w:t>
            </w:r>
            <w:r w:rsidRPr="00824830">
              <w:rPr>
                <w:b w:val="0"/>
                <w:i/>
              </w:rPr>
              <w:t>Secured Documents</w:t>
            </w:r>
            <w:r w:rsidRPr="00824830">
              <w:rPr>
                <w:b w:val="0"/>
              </w:rPr>
              <w:t>” shall be deemed to be referred to the Secured Documents as defined in this Deed</w:t>
            </w:r>
            <w:r>
              <w:rPr>
                <w:b w:val="0"/>
              </w:rPr>
              <w:t xml:space="preserve">, </w:t>
            </w:r>
            <w:r w:rsidRPr="006B328C">
              <w:rPr>
                <w:b w:val="0"/>
              </w:rPr>
              <w:t xml:space="preserve">including, without limitation, </w:t>
            </w:r>
            <w:r w:rsidRPr="00216294">
              <w:rPr>
                <w:b w:val="0"/>
                <w:lang w:eastAsia="es-ES"/>
              </w:rPr>
              <w:t xml:space="preserve">2025 </w:t>
            </w:r>
            <w:r w:rsidRPr="00216294">
              <w:rPr>
                <w:b w:val="0"/>
              </w:rPr>
              <w:t>Authorised Credit Facilities</w:t>
            </w:r>
            <w:r w:rsidRPr="00216294">
              <w:rPr>
                <w:b w:val="0"/>
                <w:lang w:eastAsia="en-GB" w:bidi="en-GB"/>
              </w:rPr>
              <w:t xml:space="preserve"> Agreement, </w:t>
            </w:r>
            <w:r w:rsidRPr="00216294">
              <w:rPr>
                <w:b w:val="0"/>
              </w:rPr>
              <w:t>2025 PP Debt Note Purchase Agreement</w:t>
            </w:r>
            <w:r>
              <w:rPr>
                <w:b w:val="0"/>
              </w:rPr>
              <w:t xml:space="preserve">, </w:t>
            </w:r>
            <w:r w:rsidRPr="00216294">
              <w:rPr>
                <w:b w:val="0"/>
              </w:rPr>
              <w:t>the 2025 STID Proposal</w:t>
            </w:r>
            <w:r>
              <w:rPr>
                <w:b w:val="0"/>
              </w:rPr>
              <w:t xml:space="preserve">, </w:t>
            </w:r>
            <w:r w:rsidRPr="00D513C2">
              <w:rPr>
                <w:b w:val="0"/>
              </w:rPr>
              <w:t>the 2025 Amendment and Restatement Agreement and the New Hedging Agreements</w:t>
            </w:r>
            <w:r>
              <w:rPr>
                <w:b w:val="0"/>
                <w:bCs/>
              </w:rPr>
              <w:t>.</w:t>
            </w:r>
          </w:p>
        </w:tc>
      </w:tr>
      <w:tr w:rsidR="00465335" w:rsidRPr="00551D49" w14:paraId="16012FEC" w14:textId="77777777" w:rsidTr="00F47A3C">
        <w:trPr>
          <w:trHeight w:val="81"/>
          <w:jc w:val="center"/>
        </w:trPr>
        <w:tc>
          <w:tcPr>
            <w:tcW w:w="2500" w:type="pct"/>
          </w:tcPr>
          <w:p w14:paraId="014B81D4" w14:textId="3222D936" w:rsidR="00465335" w:rsidRPr="002C41AB" w:rsidRDefault="00465335" w:rsidP="00465335">
            <w:pPr>
              <w:pStyle w:val="AOAltHead2"/>
              <w:widowControl w:val="0"/>
              <w:numPr>
                <w:ilvl w:val="0"/>
                <w:numId w:val="0"/>
              </w:numPr>
              <w:ind w:left="720"/>
              <w:rPr>
                <w:rFonts w:eastAsia="Times New Roman"/>
                <w:szCs w:val="20"/>
                <w:lang w:val="es-ES"/>
              </w:rPr>
            </w:pPr>
            <w:r w:rsidRPr="002C41AB">
              <w:rPr>
                <w:rFonts w:eastAsia="Times New Roman"/>
                <w:szCs w:val="20"/>
                <w:lang w:val="es-ES"/>
              </w:rPr>
              <w:t>Las referencias realizadas a las “</w:t>
            </w:r>
            <w:r w:rsidRPr="002C41AB">
              <w:rPr>
                <w:rFonts w:eastAsia="Times New Roman"/>
                <w:i/>
                <w:szCs w:val="20"/>
                <w:lang w:val="es-ES"/>
              </w:rPr>
              <w:t>Partes Garantizadas</w:t>
            </w:r>
            <w:r w:rsidRPr="002C41AB">
              <w:rPr>
                <w:rFonts w:eastAsia="Times New Roman"/>
                <w:szCs w:val="20"/>
                <w:lang w:val="es-ES"/>
              </w:rPr>
              <w:t xml:space="preserve">” se entenderán realizadas también a </w:t>
            </w:r>
            <w:r w:rsidRPr="002C41AB">
              <w:rPr>
                <w:lang w:val="es-ES"/>
              </w:rPr>
              <w:t>las Entidades Financiadoras ACF 202</w:t>
            </w:r>
            <w:r w:rsidRPr="00316E16">
              <w:rPr>
                <w:lang w:val="es-ES"/>
              </w:rPr>
              <w:t>5</w:t>
            </w:r>
            <w:r>
              <w:rPr>
                <w:lang w:val="es-ES"/>
              </w:rPr>
              <w:t xml:space="preserve">, a </w:t>
            </w:r>
            <w:r w:rsidRPr="00316E16">
              <w:rPr>
                <w:lang w:val="es-ES"/>
              </w:rPr>
              <w:t>las</w:t>
            </w:r>
            <w:r w:rsidRPr="002C41AB">
              <w:rPr>
                <w:lang w:val="es-ES"/>
              </w:rPr>
              <w:t xml:space="preserve"> </w:t>
            </w:r>
            <w:r>
              <w:rPr>
                <w:lang w:val="es-ES"/>
              </w:rPr>
              <w:t xml:space="preserve">Nuevas </w:t>
            </w:r>
            <w:r w:rsidRPr="00316E16">
              <w:rPr>
                <w:lang w:val="es-ES"/>
              </w:rPr>
              <w:t>Compradoras de Bonos 2025</w:t>
            </w:r>
            <w:r>
              <w:rPr>
                <w:lang w:val="es-ES"/>
              </w:rPr>
              <w:t xml:space="preserve"> y a las Nuevas Entidades de Cobertura</w:t>
            </w:r>
            <w:r w:rsidRPr="002C41AB">
              <w:rPr>
                <w:rFonts w:eastAsia="Times New Roman"/>
                <w:szCs w:val="20"/>
                <w:lang w:val="es-ES"/>
              </w:rPr>
              <w:t>.</w:t>
            </w:r>
          </w:p>
        </w:tc>
        <w:tc>
          <w:tcPr>
            <w:tcW w:w="2500" w:type="pct"/>
          </w:tcPr>
          <w:p w14:paraId="48C0581D" w14:textId="75806C74" w:rsidR="00465335" w:rsidRPr="00551D49" w:rsidRDefault="00465335" w:rsidP="00465335">
            <w:pPr>
              <w:pStyle w:val="AOGenNum1Para"/>
              <w:keepNext w:val="0"/>
              <w:widowControl w:val="0"/>
              <w:numPr>
                <w:ilvl w:val="0"/>
                <w:numId w:val="0"/>
              </w:numPr>
              <w:ind w:left="720"/>
              <w:rPr>
                <w:b w:val="0"/>
              </w:rPr>
            </w:pPr>
            <w:r w:rsidRPr="00551D49">
              <w:rPr>
                <w:b w:val="0"/>
              </w:rPr>
              <w:t>All references to the “</w:t>
            </w:r>
            <w:r w:rsidRPr="00551D49">
              <w:rPr>
                <w:b w:val="0"/>
                <w:i/>
              </w:rPr>
              <w:t>Secured Parties</w:t>
            </w:r>
            <w:r>
              <w:rPr>
                <w:b w:val="0"/>
              </w:rPr>
              <w:t xml:space="preserve">” shall be deemed to be referred also </w:t>
            </w:r>
            <w:r>
              <w:rPr>
                <w:rFonts w:eastAsia="Times New Roman"/>
                <w:b w:val="0"/>
              </w:rPr>
              <w:t xml:space="preserve">to </w:t>
            </w:r>
            <w:r w:rsidRPr="009018D1">
              <w:rPr>
                <w:b w:val="0"/>
              </w:rPr>
              <w:t xml:space="preserve">the </w:t>
            </w:r>
            <w:r w:rsidRPr="00D04DF4">
              <w:rPr>
                <w:b w:val="0"/>
              </w:rPr>
              <w:t>ACF Lenders 202</w:t>
            </w:r>
            <w:r>
              <w:rPr>
                <w:b w:val="0"/>
              </w:rPr>
              <w:t xml:space="preserve">5, </w:t>
            </w:r>
            <w:r w:rsidRPr="002D510C">
              <w:rPr>
                <w:b w:val="0"/>
              </w:rPr>
              <w:t xml:space="preserve">to the </w:t>
            </w:r>
            <w:r>
              <w:rPr>
                <w:b w:val="0"/>
              </w:rPr>
              <w:t xml:space="preserve">New </w:t>
            </w:r>
            <w:r w:rsidRPr="00316E16">
              <w:rPr>
                <w:b w:val="0"/>
              </w:rPr>
              <w:t>Note Purchasers 2025</w:t>
            </w:r>
            <w:r>
              <w:rPr>
                <w:b w:val="0"/>
              </w:rPr>
              <w:t xml:space="preserve"> and to the New Hedging Counterparties.</w:t>
            </w:r>
          </w:p>
        </w:tc>
      </w:tr>
      <w:tr w:rsidR="00465335" w:rsidRPr="007E14D7" w14:paraId="769287C0" w14:textId="77777777" w:rsidTr="00F47A3C">
        <w:trPr>
          <w:trHeight w:val="81"/>
          <w:jc w:val="center"/>
        </w:trPr>
        <w:tc>
          <w:tcPr>
            <w:tcW w:w="2500" w:type="pct"/>
          </w:tcPr>
          <w:p w14:paraId="46983871" w14:textId="77777777" w:rsidR="00465335" w:rsidRDefault="00465335" w:rsidP="00465335">
            <w:pPr>
              <w:pStyle w:val="AOAltHead2"/>
              <w:widowControl w:val="0"/>
              <w:numPr>
                <w:ilvl w:val="0"/>
                <w:numId w:val="0"/>
              </w:numPr>
              <w:ind w:left="720"/>
              <w:rPr>
                <w:b/>
                <w:lang w:val="es-ES"/>
              </w:rPr>
            </w:pPr>
            <w:r w:rsidRPr="00730976">
              <w:rPr>
                <w:rFonts w:eastAsia="Times New Roman"/>
                <w:szCs w:val="20"/>
                <w:lang w:val="es-ES"/>
              </w:rPr>
              <w:t>L</w:t>
            </w:r>
            <w:proofErr w:type="spellStart"/>
            <w:r>
              <w:rPr>
                <w:rFonts w:eastAsia="Times New Roman"/>
                <w:szCs w:val="20"/>
                <w:lang w:val="es-ES_tradnl"/>
              </w:rPr>
              <w:t>as</w:t>
            </w:r>
            <w:proofErr w:type="spellEnd"/>
            <w:r>
              <w:rPr>
                <w:rFonts w:eastAsia="Times New Roman"/>
                <w:szCs w:val="20"/>
                <w:lang w:val="es-ES_tradnl"/>
              </w:rPr>
              <w:t xml:space="preserve"> referencias en las </w:t>
            </w:r>
            <w:r w:rsidRPr="002B46B6">
              <w:rPr>
                <w:lang w:val="es-ES"/>
              </w:rPr>
              <w:t>Póliza</w:t>
            </w:r>
            <w:r>
              <w:rPr>
                <w:lang w:val="es-ES"/>
              </w:rPr>
              <w:t>s</w:t>
            </w:r>
            <w:r w:rsidRPr="002B46B6">
              <w:rPr>
                <w:lang w:val="es-ES"/>
              </w:rPr>
              <w:t xml:space="preserve"> de </w:t>
            </w:r>
            <w:r>
              <w:rPr>
                <w:lang w:val="es-ES"/>
              </w:rPr>
              <w:t xml:space="preserve">Prenda </w:t>
            </w:r>
            <w:r>
              <w:rPr>
                <w:rFonts w:eastAsia="Times New Roman"/>
                <w:szCs w:val="20"/>
                <w:lang w:val="es-ES_tradnl"/>
              </w:rPr>
              <w:t xml:space="preserve">a </w:t>
            </w:r>
            <w:r w:rsidRPr="00730976">
              <w:rPr>
                <w:snapToGrid w:val="0"/>
                <w:lang w:val="es-ES"/>
              </w:rPr>
              <w:t>la</w:t>
            </w:r>
            <w:r>
              <w:rPr>
                <w:snapToGrid w:val="0"/>
                <w:lang w:val="es-ES"/>
              </w:rPr>
              <w:t>s</w:t>
            </w:r>
            <w:r>
              <w:rPr>
                <w:lang w:val="es-ES_tradnl"/>
              </w:rPr>
              <w:t xml:space="preserve"> “</w:t>
            </w:r>
            <w:r>
              <w:rPr>
                <w:i/>
                <w:lang w:val="es-ES_tradnl"/>
              </w:rPr>
              <w:t>Prendas</w:t>
            </w:r>
            <w:r>
              <w:rPr>
                <w:lang w:val="es-ES_tradnl"/>
              </w:rPr>
              <w:t>” o las “</w:t>
            </w:r>
            <w:r w:rsidRPr="008F47C3">
              <w:rPr>
                <w:i/>
                <w:lang w:val="es-ES_tradnl"/>
              </w:rPr>
              <w:t>Póliza</w:t>
            </w:r>
            <w:r>
              <w:rPr>
                <w:i/>
                <w:lang w:val="es-ES_tradnl"/>
              </w:rPr>
              <w:t>s</w:t>
            </w:r>
            <w:r>
              <w:rPr>
                <w:lang w:val="es-ES_tradnl"/>
              </w:rPr>
              <w:t xml:space="preserve">” </w:t>
            </w:r>
            <w:r w:rsidRPr="008F47C3">
              <w:rPr>
                <w:lang w:val="es-ES_tradnl"/>
              </w:rPr>
              <w:t>se</w:t>
            </w:r>
            <w:r>
              <w:rPr>
                <w:lang w:val="es-ES_tradnl"/>
              </w:rPr>
              <w:t xml:space="preserve"> entenderán realizadas a las Prendas o las </w:t>
            </w:r>
            <w:r w:rsidRPr="008E2D07">
              <w:rPr>
                <w:color w:val="000000" w:themeColor="text1"/>
                <w:lang w:val="es-ES"/>
              </w:rPr>
              <w:t>Póliza</w:t>
            </w:r>
            <w:r>
              <w:rPr>
                <w:color w:val="000000" w:themeColor="text1"/>
                <w:lang w:val="es-ES"/>
              </w:rPr>
              <w:t>s de Prenda</w:t>
            </w:r>
            <w:r>
              <w:rPr>
                <w:lang w:val="es-ES_tradnl"/>
              </w:rPr>
              <w:t>, tal y como hayan sido extendidas y ratificadas en virtud de la presente Póliza.</w:t>
            </w:r>
          </w:p>
        </w:tc>
        <w:tc>
          <w:tcPr>
            <w:tcW w:w="2500" w:type="pct"/>
          </w:tcPr>
          <w:p w14:paraId="58BA1A5F" w14:textId="77777777" w:rsidR="00465335" w:rsidRPr="00780EE4" w:rsidRDefault="00465335" w:rsidP="00465335">
            <w:pPr>
              <w:pStyle w:val="AOGenNum1Para"/>
              <w:keepNext w:val="0"/>
              <w:widowControl w:val="0"/>
              <w:numPr>
                <w:ilvl w:val="0"/>
                <w:numId w:val="0"/>
              </w:numPr>
              <w:ind w:left="720"/>
              <w:rPr>
                <w:lang w:val="en-US"/>
              </w:rPr>
            </w:pPr>
            <w:r>
              <w:rPr>
                <w:b w:val="0"/>
              </w:rPr>
              <w:t xml:space="preserve">All references in the </w:t>
            </w:r>
            <w:r w:rsidRPr="003C7770">
              <w:rPr>
                <w:b w:val="0"/>
              </w:rPr>
              <w:t>Deed</w:t>
            </w:r>
            <w:r>
              <w:rPr>
                <w:b w:val="0"/>
              </w:rPr>
              <w:t>s of Pledge</w:t>
            </w:r>
            <w:r w:rsidRPr="003C7770">
              <w:rPr>
                <w:b w:val="0"/>
              </w:rPr>
              <w:t xml:space="preserve"> </w:t>
            </w:r>
            <w:r>
              <w:rPr>
                <w:b w:val="0"/>
              </w:rPr>
              <w:t>to</w:t>
            </w:r>
            <w:r w:rsidRPr="00905333">
              <w:rPr>
                <w:b w:val="0"/>
              </w:rPr>
              <w:t xml:space="preserve"> the “</w:t>
            </w:r>
            <w:r w:rsidRPr="00B8250C">
              <w:rPr>
                <w:b w:val="0"/>
                <w:i/>
              </w:rPr>
              <w:t>Pledge</w:t>
            </w:r>
            <w:r>
              <w:rPr>
                <w:b w:val="0"/>
                <w:i/>
              </w:rPr>
              <w:t>s</w:t>
            </w:r>
            <w:r w:rsidRPr="00905333">
              <w:rPr>
                <w:b w:val="0"/>
              </w:rPr>
              <w:t>” or the “</w:t>
            </w:r>
            <w:r w:rsidRPr="00905333">
              <w:rPr>
                <w:b w:val="0"/>
                <w:i/>
              </w:rPr>
              <w:t>Deed</w:t>
            </w:r>
            <w:r>
              <w:rPr>
                <w:b w:val="0"/>
                <w:i/>
              </w:rPr>
              <w:t>s</w:t>
            </w:r>
            <w:r w:rsidRPr="00905333">
              <w:rPr>
                <w:b w:val="0"/>
              </w:rPr>
              <w:t xml:space="preserve">” will be referred to the </w:t>
            </w:r>
            <w:r>
              <w:rPr>
                <w:b w:val="0"/>
              </w:rPr>
              <w:t>corresponding Pledges</w:t>
            </w:r>
            <w:r w:rsidRPr="00905333">
              <w:rPr>
                <w:b w:val="0"/>
              </w:rPr>
              <w:t xml:space="preserve"> or the Deed</w:t>
            </w:r>
            <w:r>
              <w:rPr>
                <w:b w:val="0"/>
              </w:rPr>
              <w:t>s of Pledge</w:t>
            </w:r>
            <w:r w:rsidRPr="00905333">
              <w:rPr>
                <w:b w:val="0"/>
              </w:rPr>
              <w:t xml:space="preserve">, </w:t>
            </w:r>
            <w:r>
              <w:rPr>
                <w:b w:val="0"/>
              </w:rPr>
              <w:t xml:space="preserve">as applicable, </w:t>
            </w:r>
            <w:r w:rsidRPr="00905333">
              <w:rPr>
                <w:b w:val="0"/>
              </w:rPr>
              <w:t>as extended and ratified by virtue</w:t>
            </w:r>
            <w:r>
              <w:t xml:space="preserve"> </w:t>
            </w:r>
            <w:r w:rsidRPr="00905333">
              <w:rPr>
                <w:b w:val="0"/>
              </w:rPr>
              <w:t>of the provisions of this Deed.</w:t>
            </w:r>
          </w:p>
        </w:tc>
      </w:tr>
      <w:tr w:rsidR="00465335" w14:paraId="2161738E" w14:textId="77777777" w:rsidTr="00F47A3C">
        <w:trPr>
          <w:trHeight w:val="81"/>
          <w:jc w:val="center"/>
        </w:trPr>
        <w:tc>
          <w:tcPr>
            <w:tcW w:w="2500" w:type="pct"/>
          </w:tcPr>
          <w:p w14:paraId="6E6EB766" w14:textId="77777777" w:rsidR="00465335" w:rsidRDefault="00465335" w:rsidP="00465335">
            <w:pPr>
              <w:pStyle w:val="AOHead1"/>
              <w:keepNext w:val="0"/>
              <w:widowControl w:val="0"/>
              <w:rPr>
                <w:lang w:val="es-ES"/>
              </w:rPr>
            </w:pPr>
            <w:bookmarkStart w:id="85" w:name="_Ref520113965"/>
            <w:bookmarkStart w:id="86" w:name="_Ref522879672"/>
            <w:bookmarkStart w:id="87" w:name="_Toc198658673"/>
            <w:bookmarkStart w:id="88" w:name="_Toc43145975"/>
            <w:bookmarkStart w:id="89" w:name="_Toc65597007"/>
            <w:r>
              <w:rPr>
                <w:lang w:val="es-ES"/>
              </w:rPr>
              <w:t xml:space="preserve">Formalidades relativas a la ratificación </w:t>
            </w:r>
            <w:bookmarkEnd w:id="85"/>
            <w:r>
              <w:rPr>
                <w:lang w:val="es-ES"/>
              </w:rPr>
              <w:t>de las Prenda</w:t>
            </w:r>
            <w:bookmarkEnd w:id="86"/>
            <w:r>
              <w:rPr>
                <w:lang w:val="es-ES"/>
              </w:rPr>
              <w:t>s</w:t>
            </w:r>
            <w:bookmarkEnd w:id="87"/>
            <w:r>
              <w:rPr>
                <w:lang w:val="es-ES"/>
              </w:rPr>
              <w:t xml:space="preserve"> </w:t>
            </w:r>
            <w:bookmarkEnd w:id="88"/>
            <w:bookmarkEnd w:id="89"/>
          </w:p>
        </w:tc>
        <w:tc>
          <w:tcPr>
            <w:tcW w:w="2500" w:type="pct"/>
          </w:tcPr>
          <w:p w14:paraId="287EBE90" w14:textId="77777777" w:rsidR="00465335" w:rsidRDefault="00465335" w:rsidP="00465335">
            <w:pPr>
              <w:pStyle w:val="AOGenNum1"/>
              <w:keepNext w:val="0"/>
              <w:widowControl w:val="0"/>
            </w:pPr>
            <w:bookmarkStart w:id="90" w:name="_Ref520113969"/>
            <w:bookmarkStart w:id="91" w:name="_Ref522879825"/>
            <w:bookmarkStart w:id="92" w:name="_Toc43145960"/>
            <w:bookmarkStart w:id="93" w:name="_Toc65597019"/>
            <w:bookmarkStart w:id="94" w:name="_Toc198658702"/>
            <w:r>
              <w:t xml:space="preserve">Formalities referred to the ratification of the </w:t>
            </w:r>
            <w:bookmarkEnd w:id="90"/>
            <w:r>
              <w:t>Pledge</w:t>
            </w:r>
            <w:bookmarkEnd w:id="91"/>
            <w:bookmarkEnd w:id="92"/>
            <w:bookmarkEnd w:id="93"/>
            <w:r>
              <w:t>s</w:t>
            </w:r>
            <w:bookmarkEnd w:id="94"/>
          </w:p>
        </w:tc>
      </w:tr>
      <w:tr w:rsidR="00465335" w14:paraId="159576BE" w14:textId="77777777" w:rsidTr="00F47A3C">
        <w:trPr>
          <w:trHeight w:val="81"/>
          <w:jc w:val="center"/>
        </w:trPr>
        <w:tc>
          <w:tcPr>
            <w:tcW w:w="2500" w:type="pct"/>
          </w:tcPr>
          <w:p w14:paraId="329ACEE0" w14:textId="5E02EB61" w:rsidR="00465335" w:rsidRPr="00897CBE" w:rsidRDefault="00465335" w:rsidP="00465335">
            <w:pPr>
              <w:pStyle w:val="AOAltHead2"/>
              <w:widowControl w:val="0"/>
              <w:numPr>
                <w:ilvl w:val="1"/>
                <w:numId w:val="25"/>
              </w:numPr>
              <w:rPr>
                <w:lang w:val="es-ES"/>
              </w:rPr>
            </w:pPr>
            <w:bookmarkStart w:id="95" w:name="_Toc99457875"/>
            <w:r w:rsidRPr="003636D4">
              <w:rPr>
                <w:b/>
                <w:snapToGrid w:val="0"/>
                <w:lang w:val="es-ES"/>
              </w:rPr>
              <w:t xml:space="preserve">Prenda sobre </w:t>
            </w:r>
            <w:r>
              <w:rPr>
                <w:b/>
                <w:snapToGrid w:val="0"/>
                <w:lang w:val="es-ES"/>
              </w:rPr>
              <w:t>P</w:t>
            </w:r>
            <w:r w:rsidRPr="003636D4">
              <w:rPr>
                <w:b/>
                <w:snapToGrid w:val="0"/>
                <w:lang w:val="es-ES"/>
              </w:rPr>
              <w:t>articipaciones</w:t>
            </w:r>
            <w:bookmarkEnd w:id="95"/>
          </w:p>
        </w:tc>
        <w:tc>
          <w:tcPr>
            <w:tcW w:w="2500" w:type="pct"/>
          </w:tcPr>
          <w:p w14:paraId="77FF3B5E" w14:textId="77777777" w:rsidR="00465335" w:rsidRPr="00A6092A" w:rsidRDefault="00465335" w:rsidP="00465335">
            <w:pPr>
              <w:pStyle w:val="AOGenNum1Para"/>
              <w:keepNext w:val="0"/>
              <w:widowControl w:val="0"/>
              <w:numPr>
                <w:ilvl w:val="1"/>
                <w:numId w:val="26"/>
              </w:numPr>
              <w:tabs>
                <w:tab w:val="clear" w:pos="720"/>
                <w:tab w:val="num" w:pos="1713"/>
              </w:tabs>
            </w:pPr>
            <w:bookmarkStart w:id="96" w:name="_Toc99457888"/>
            <w:r w:rsidRPr="00A6092A">
              <w:t>Pledge over Quota Shares</w:t>
            </w:r>
            <w:bookmarkEnd w:id="96"/>
          </w:p>
        </w:tc>
      </w:tr>
      <w:tr w:rsidR="005B7EFB" w14:paraId="23C9564C" w14:textId="77777777" w:rsidTr="00F47A3C">
        <w:trPr>
          <w:trHeight w:val="81"/>
          <w:jc w:val="center"/>
        </w:trPr>
        <w:tc>
          <w:tcPr>
            <w:tcW w:w="2500" w:type="pct"/>
          </w:tcPr>
          <w:p w14:paraId="21F91896" w14:textId="29E4FC6C" w:rsidR="005B7EFB" w:rsidRPr="00C51F6D" w:rsidRDefault="005B7EFB" w:rsidP="005B7EFB">
            <w:pPr>
              <w:pStyle w:val="AOAltHead2"/>
              <w:widowControl w:val="0"/>
              <w:numPr>
                <w:ilvl w:val="0"/>
                <w:numId w:val="0"/>
              </w:numPr>
              <w:ind w:left="720"/>
              <w:rPr>
                <w:lang w:val="es-ES"/>
              </w:rPr>
            </w:pPr>
            <w:r w:rsidRPr="00C51F6D">
              <w:rPr>
                <w:lang w:val="es-ES"/>
              </w:rPr>
              <w:t xml:space="preserve">En este mismo acto, </w:t>
            </w:r>
            <w:r>
              <w:rPr>
                <w:lang w:val="es-ES"/>
              </w:rPr>
              <w:t xml:space="preserve">Beacon </w:t>
            </w:r>
            <w:r w:rsidRPr="00C51F6D">
              <w:rPr>
                <w:lang w:val="es-ES"/>
              </w:rPr>
              <w:t xml:space="preserve">entrega la primera copia </w:t>
            </w:r>
            <w:r>
              <w:rPr>
                <w:lang w:val="es-ES"/>
              </w:rPr>
              <w:t>del Título de Propiedad</w:t>
            </w:r>
            <w:r w:rsidRPr="00C51F6D">
              <w:rPr>
                <w:lang w:val="es-ES"/>
              </w:rPr>
              <w:t xml:space="preserve"> (tal y como dicho </w:t>
            </w:r>
            <w:r>
              <w:rPr>
                <w:lang w:val="es-ES"/>
              </w:rPr>
              <w:t>término se define en</w:t>
            </w:r>
            <w:r w:rsidRPr="00C51F6D">
              <w:rPr>
                <w:lang w:val="es-ES"/>
              </w:rPr>
              <w:t xml:space="preserve"> la </w:t>
            </w:r>
            <w:r>
              <w:rPr>
                <w:lang w:val="es-ES"/>
              </w:rPr>
              <w:t xml:space="preserve">Póliza de </w:t>
            </w:r>
            <w:r w:rsidRPr="00C51F6D">
              <w:rPr>
                <w:lang w:val="es-ES"/>
              </w:rPr>
              <w:t>Prenda sobre Participaciones) al notario que interviene esta Póliza, y las Partes le re</w:t>
            </w:r>
            <w:r>
              <w:rPr>
                <w:lang w:val="es-ES"/>
              </w:rPr>
              <w:t>quieren para que anote en dicho Título</w:t>
            </w:r>
            <w:r w:rsidRPr="00C51F6D">
              <w:rPr>
                <w:lang w:val="es-ES"/>
              </w:rPr>
              <w:t xml:space="preserve"> de Propiedad la</w:t>
            </w:r>
            <w:r>
              <w:rPr>
                <w:lang w:val="es-ES"/>
              </w:rPr>
              <w:t xml:space="preserve"> novación, extensión y</w:t>
            </w:r>
            <w:r w:rsidRPr="00C51F6D">
              <w:rPr>
                <w:lang w:val="es-ES"/>
              </w:rPr>
              <w:t xml:space="preserve"> ratificación de la Prenda sobre Participaciones efectuada en virtud de la presente Póliza, tras lo cual </w:t>
            </w:r>
            <w:r>
              <w:rPr>
                <w:lang w:val="es-ES"/>
              </w:rPr>
              <w:t>el Título</w:t>
            </w:r>
            <w:r w:rsidRPr="00C51F6D">
              <w:rPr>
                <w:lang w:val="es-ES"/>
              </w:rPr>
              <w:t xml:space="preserve"> de Propiedad </w:t>
            </w:r>
            <w:r>
              <w:rPr>
                <w:lang w:val="es-ES"/>
              </w:rPr>
              <w:t>es</w:t>
            </w:r>
            <w:r w:rsidRPr="00C51F6D">
              <w:rPr>
                <w:lang w:val="es-ES"/>
              </w:rPr>
              <w:t xml:space="preserve"> devuelto </w:t>
            </w:r>
            <w:r>
              <w:rPr>
                <w:lang w:val="es-ES"/>
              </w:rPr>
              <w:t>a Beacon.</w:t>
            </w:r>
          </w:p>
        </w:tc>
        <w:tc>
          <w:tcPr>
            <w:tcW w:w="2500" w:type="pct"/>
          </w:tcPr>
          <w:p w14:paraId="50B482CA" w14:textId="77777777" w:rsidR="005B7EFB" w:rsidRPr="00F7586C" w:rsidRDefault="005B7EFB" w:rsidP="005B7EFB">
            <w:pPr>
              <w:pStyle w:val="AOGenNum1Para"/>
              <w:keepNext w:val="0"/>
              <w:widowControl w:val="0"/>
              <w:numPr>
                <w:ilvl w:val="0"/>
                <w:numId w:val="0"/>
              </w:numPr>
              <w:ind w:left="720"/>
              <w:rPr>
                <w:b w:val="0"/>
              </w:rPr>
            </w:pPr>
            <w:r w:rsidRPr="00F7586C">
              <w:rPr>
                <w:b w:val="0"/>
              </w:rPr>
              <w:t xml:space="preserve">In this act, </w:t>
            </w:r>
            <w:r w:rsidRPr="006D554B">
              <w:rPr>
                <w:b w:val="0"/>
              </w:rPr>
              <w:t xml:space="preserve">Beacon </w:t>
            </w:r>
            <w:r w:rsidRPr="00F7586C">
              <w:rPr>
                <w:b w:val="0"/>
              </w:rPr>
              <w:t>deliver</w:t>
            </w:r>
            <w:r>
              <w:rPr>
                <w:b w:val="0"/>
              </w:rPr>
              <w:t>s</w:t>
            </w:r>
            <w:r w:rsidRPr="00F7586C">
              <w:rPr>
                <w:b w:val="0"/>
              </w:rPr>
              <w:t xml:space="preserve"> the fi</w:t>
            </w:r>
            <w:r>
              <w:rPr>
                <w:b w:val="0"/>
              </w:rPr>
              <w:t>rst copy of the Ownership Title</w:t>
            </w:r>
            <w:r w:rsidRPr="00F7586C">
              <w:rPr>
                <w:b w:val="0"/>
              </w:rPr>
              <w:t xml:space="preserve"> (as defined in </w:t>
            </w:r>
            <w:r>
              <w:rPr>
                <w:b w:val="0"/>
              </w:rPr>
              <w:t>t</w:t>
            </w:r>
            <w:r w:rsidRPr="00F7586C">
              <w:rPr>
                <w:b w:val="0"/>
              </w:rPr>
              <w:t>he Pledge over Quotas) to the notary attesting this Deed, and the Parties request him to</w:t>
            </w:r>
            <w:r>
              <w:rPr>
                <w:b w:val="0"/>
              </w:rPr>
              <w:t xml:space="preserve"> record on such Ownership Title</w:t>
            </w:r>
            <w:r w:rsidRPr="00F7586C">
              <w:rPr>
                <w:b w:val="0"/>
              </w:rPr>
              <w:t xml:space="preserve"> the </w:t>
            </w:r>
            <w:r>
              <w:rPr>
                <w:b w:val="0"/>
              </w:rPr>
              <w:t xml:space="preserve">amendment, </w:t>
            </w:r>
            <w:r w:rsidRPr="00F7586C">
              <w:rPr>
                <w:b w:val="0"/>
              </w:rPr>
              <w:t>extension and ratification of the Pledge over Quotas by virtue of this Deed, after which the Ownershi</w:t>
            </w:r>
            <w:r>
              <w:rPr>
                <w:b w:val="0"/>
              </w:rPr>
              <w:t>p Titles will be returned to</w:t>
            </w:r>
            <w:r w:rsidRPr="00F7586C">
              <w:rPr>
                <w:b w:val="0"/>
              </w:rPr>
              <w:t xml:space="preserve"> </w:t>
            </w:r>
            <w:r w:rsidRPr="006D554B">
              <w:rPr>
                <w:b w:val="0"/>
              </w:rPr>
              <w:t>Beacon</w:t>
            </w:r>
            <w:r w:rsidRPr="00F7586C">
              <w:rPr>
                <w:b w:val="0"/>
              </w:rPr>
              <w:t xml:space="preserve">. </w:t>
            </w:r>
          </w:p>
          <w:p w14:paraId="30540ED2" w14:textId="77777777" w:rsidR="005B7EFB" w:rsidRPr="00F7586C" w:rsidRDefault="005B7EFB" w:rsidP="005B7EFB">
            <w:pPr>
              <w:pStyle w:val="AOGenNum1List"/>
              <w:widowControl w:val="0"/>
              <w:numPr>
                <w:ilvl w:val="0"/>
                <w:numId w:val="0"/>
              </w:numPr>
            </w:pPr>
          </w:p>
        </w:tc>
      </w:tr>
      <w:tr w:rsidR="00465335" w14:paraId="30B67C10" w14:textId="77777777" w:rsidTr="00F47A3C">
        <w:trPr>
          <w:trHeight w:val="81"/>
          <w:jc w:val="center"/>
        </w:trPr>
        <w:tc>
          <w:tcPr>
            <w:tcW w:w="2500" w:type="pct"/>
          </w:tcPr>
          <w:p w14:paraId="7E006A70" w14:textId="31D17156" w:rsidR="00465335" w:rsidRPr="00C51F6D" w:rsidRDefault="00465335" w:rsidP="00465335">
            <w:pPr>
              <w:pStyle w:val="AOAltHead2"/>
              <w:widowControl w:val="0"/>
              <w:numPr>
                <w:ilvl w:val="0"/>
                <w:numId w:val="0"/>
              </w:numPr>
              <w:ind w:left="720"/>
              <w:rPr>
                <w:lang w:val="es-ES"/>
              </w:rPr>
            </w:pPr>
            <w:r>
              <w:rPr>
                <w:bCs/>
                <w:lang w:val="es-ES"/>
              </w:rPr>
              <w:t>La</w:t>
            </w:r>
            <w:r w:rsidRPr="00BF7DC3">
              <w:rPr>
                <w:bCs/>
                <w:lang w:val="es-ES"/>
              </w:rPr>
              <w:t xml:space="preserve"> Notario acepta el requerimiento, efectúa </w:t>
            </w:r>
            <w:r w:rsidRPr="00F7586C">
              <w:rPr>
                <w:lang w:val="es-ES"/>
              </w:rPr>
              <w:t>las</w:t>
            </w:r>
            <w:r w:rsidRPr="00BF7DC3">
              <w:rPr>
                <w:bCs/>
                <w:lang w:val="es-ES"/>
              </w:rPr>
              <w:t xml:space="preserve"> anotaciones referidas anteriormente y devuelve </w:t>
            </w:r>
            <w:r>
              <w:rPr>
                <w:lang w:val="es-ES"/>
              </w:rPr>
              <w:t>el Título</w:t>
            </w:r>
            <w:r w:rsidRPr="00C51F6D">
              <w:rPr>
                <w:lang w:val="es-ES"/>
              </w:rPr>
              <w:t xml:space="preserve"> de Propiedad</w:t>
            </w:r>
            <w:r>
              <w:rPr>
                <w:bCs/>
                <w:lang w:val="es-ES"/>
              </w:rPr>
              <w:t xml:space="preserve"> </w:t>
            </w:r>
            <w:r>
              <w:rPr>
                <w:lang w:val="es-ES"/>
              </w:rPr>
              <w:t>a Beacon</w:t>
            </w:r>
            <w:r>
              <w:rPr>
                <w:bCs/>
                <w:lang w:val="es-ES"/>
              </w:rPr>
              <w:t>.</w:t>
            </w:r>
          </w:p>
        </w:tc>
        <w:tc>
          <w:tcPr>
            <w:tcW w:w="2500" w:type="pct"/>
          </w:tcPr>
          <w:p w14:paraId="710039CE" w14:textId="77777777" w:rsidR="00465335" w:rsidRPr="00F7586C" w:rsidRDefault="00465335" w:rsidP="00465335">
            <w:pPr>
              <w:pStyle w:val="AOGenNum1Para"/>
              <w:keepNext w:val="0"/>
              <w:widowControl w:val="0"/>
              <w:numPr>
                <w:ilvl w:val="0"/>
                <w:numId w:val="0"/>
              </w:numPr>
              <w:ind w:left="720"/>
              <w:rPr>
                <w:b w:val="0"/>
                <w:lang w:val="en-US"/>
              </w:rPr>
            </w:pPr>
            <w:r w:rsidRPr="00F7586C">
              <w:rPr>
                <w:b w:val="0"/>
                <w:bCs/>
              </w:rPr>
              <w:t xml:space="preserve">The Notary accepts the instructions, makes the </w:t>
            </w:r>
            <w:r w:rsidRPr="00F7586C">
              <w:rPr>
                <w:b w:val="0"/>
              </w:rPr>
              <w:t>required</w:t>
            </w:r>
            <w:r w:rsidRPr="00F7586C">
              <w:rPr>
                <w:b w:val="0"/>
                <w:bCs/>
              </w:rPr>
              <w:t xml:space="preserve"> annotations and returns </w:t>
            </w:r>
            <w:r>
              <w:rPr>
                <w:b w:val="0"/>
              </w:rPr>
              <w:t>the Ownership Title</w:t>
            </w:r>
            <w:r w:rsidRPr="00F7586C">
              <w:rPr>
                <w:b w:val="0"/>
                <w:bCs/>
              </w:rPr>
              <w:t xml:space="preserve"> to </w:t>
            </w:r>
            <w:r w:rsidRPr="006D554B">
              <w:rPr>
                <w:b w:val="0"/>
              </w:rPr>
              <w:t>Beacon</w:t>
            </w:r>
            <w:r w:rsidRPr="00F7586C">
              <w:rPr>
                <w:b w:val="0"/>
                <w:bCs/>
              </w:rPr>
              <w:t>.</w:t>
            </w:r>
          </w:p>
        </w:tc>
      </w:tr>
      <w:tr w:rsidR="00465335" w14:paraId="388618CD" w14:textId="77777777" w:rsidTr="00F47A3C">
        <w:trPr>
          <w:trHeight w:val="81"/>
          <w:jc w:val="center"/>
        </w:trPr>
        <w:tc>
          <w:tcPr>
            <w:tcW w:w="2500" w:type="pct"/>
          </w:tcPr>
          <w:p w14:paraId="63C23EC3" w14:textId="33B8CD19" w:rsidR="00465335" w:rsidRPr="007E6AF2" w:rsidRDefault="00465335" w:rsidP="00465335">
            <w:pPr>
              <w:pStyle w:val="AOAltHead2"/>
              <w:widowControl w:val="0"/>
              <w:numPr>
                <w:ilvl w:val="0"/>
                <w:numId w:val="0"/>
              </w:numPr>
              <w:ind w:left="720"/>
              <w:rPr>
                <w:lang w:val="es-ES"/>
              </w:rPr>
            </w:pPr>
            <w:r w:rsidRPr="00C51F6D">
              <w:rPr>
                <w:lang w:val="es-ES"/>
              </w:rPr>
              <w:lastRenderedPageBreak/>
              <w:t>Se adjunta como</w:t>
            </w:r>
            <w:r>
              <w:rPr>
                <w:b/>
                <w:lang w:val="es-ES"/>
              </w:rPr>
              <w:t xml:space="preserve"> Anexo 2</w:t>
            </w:r>
            <w:r w:rsidRPr="00C51F6D">
              <w:rPr>
                <w:lang w:val="es-ES"/>
              </w:rPr>
              <w:t xml:space="preserve"> a la presente Póliza, copia de las siguientes páginas: (a) de la primera página </w:t>
            </w:r>
            <w:r>
              <w:rPr>
                <w:lang w:val="es-ES"/>
              </w:rPr>
              <w:t>del Título</w:t>
            </w:r>
            <w:r w:rsidRPr="00C51F6D">
              <w:rPr>
                <w:lang w:val="es-ES"/>
              </w:rPr>
              <w:t xml:space="preserve"> de Propiedad; </w:t>
            </w:r>
            <w:r>
              <w:rPr>
                <w:lang w:val="es-ES"/>
              </w:rPr>
              <w:t>(b) de la página de dicho Título</w:t>
            </w:r>
            <w:r w:rsidRPr="00C51F6D">
              <w:rPr>
                <w:lang w:val="es-ES"/>
              </w:rPr>
              <w:t xml:space="preserve"> de Propiedad en la que </w:t>
            </w:r>
            <w:proofErr w:type="gramStart"/>
            <w:r>
              <w:rPr>
                <w:lang w:val="es-ES"/>
              </w:rPr>
              <w:t>la</w:t>
            </w:r>
            <w:r w:rsidRPr="00C51F6D">
              <w:rPr>
                <w:lang w:val="es-ES"/>
              </w:rPr>
              <w:t xml:space="preserve"> notario</w:t>
            </w:r>
            <w:proofErr w:type="gramEnd"/>
            <w:r w:rsidRPr="00C51F6D">
              <w:rPr>
                <w:lang w:val="es-ES"/>
              </w:rPr>
              <w:t xml:space="preserve"> que interviene la presente Póliza haya anotado la ratificación y extensión de la Prenda sobre Participaciones; y (c) de la pá</w:t>
            </w:r>
            <w:r>
              <w:rPr>
                <w:lang w:val="es-ES"/>
              </w:rPr>
              <w:t>gina en la que se indica que el Título</w:t>
            </w:r>
            <w:r w:rsidRPr="00C51F6D">
              <w:rPr>
                <w:lang w:val="es-ES"/>
              </w:rPr>
              <w:t xml:space="preserve"> </w:t>
            </w:r>
            <w:r>
              <w:rPr>
                <w:lang w:val="es-ES"/>
              </w:rPr>
              <w:t>de Propiedad es</w:t>
            </w:r>
            <w:r w:rsidRPr="00C51F6D">
              <w:rPr>
                <w:lang w:val="es-ES"/>
              </w:rPr>
              <w:t xml:space="preserve"> prim</w:t>
            </w:r>
            <w:r>
              <w:rPr>
                <w:lang w:val="es-ES"/>
              </w:rPr>
              <w:t>era copia autorizada</w:t>
            </w:r>
            <w:r w:rsidRPr="00C51F6D">
              <w:rPr>
                <w:lang w:val="es-ES"/>
              </w:rPr>
              <w:t xml:space="preserve">. </w:t>
            </w:r>
          </w:p>
        </w:tc>
        <w:tc>
          <w:tcPr>
            <w:tcW w:w="2500" w:type="pct"/>
          </w:tcPr>
          <w:p w14:paraId="2DEEAD96" w14:textId="77777777" w:rsidR="00465335" w:rsidRPr="00F7586C" w:rsidRDefault="00465335" w:rsidP="00465335">
            <w:pPr>
              <w:pStyle w:val="AOGenNum1Para"/>
              <w:keepNext w:val="0"/>
              <w:widowControl w:val="0"/>
              <w:numPr>
                <w:ilvl w:val="0"/>
                <w:numId w:val="0"/>
              </w:numPr>
              <w:ind w:left="720"/>
              <w:rPr>
                <w:b w:val="0"/>
                <w:lang w:val="en-US"/>
              </w:rPr>
            </w:pPr>
            <w:r w:rsidRPr="00F7586C">
              <w:rPr>
                <w:b w:val="0"/>
              </w:rPr>
              <w:t xml:space="preserve">A copy of the following pages is attached as </w:t>
            </w:r>
            <w:r>
              <w:t>Annex 2</w:t>
            </w:r>
            <w:r w:rsidRPr="00F7586C">
              <w:rPr>
                <w:b w:val="0"/>
              </w:rPr>
              <w:t>: (a) of the fi</w:t>
            </w:r>
            <w:r>
              <w:rPr>
                <w:b w:val="0"/>
              </w:rPr>
              <w:t>rst page of the Ownership Title</w:t>
            </w:r>
            <w:r w:rsidRPr="00F7586C">
              <w:rPr>
                <w:b w:val="0"/>
              </w:rPr>
              <w:t>; (b) of t</w:t>
            </w:r>
            <w:r>
              <w:rPr>
                <w:b w:val="0"/>
              </w:rPr>
              <w:t>he page of such Ownership Title</w:t>
            </w:r>
            <w:r w:rsidRPr="00F7586C">
              <w:rPr>
                <w:b w:val="0"/>
              </w:rPr>
              <w:t xml:space="preserve"> where the notary attesting Deed has ratified and extended the Pledge over Quotas; and (c) of th</w:t>
            </w:r>
            <w:r>
              <w:rPr>
                <w:b w:val="0"/>
              </w:rPr>
              <w:t>e page of such Ownership Tittle</w:t>
            </w:r>
            <w:r w:rsidRPr="00F7586C">
              <w:rPr>
                <w:b w:val="0"/>
              </w:rPr>
              <w:t xml:space="preserve"> where it is s</w:t>
            </w:r>
            <w:r>
              <w:rPr>
                <w:b w:val="0"/>
              </w:rPr>
              <w:t>et out that the Ownership Title</w:t>
            </w:r>
            <w:r w:rsidRPr="00F7586C">
              <w:rPr>
                <w:b w:val="0"/>
              </w:rPr>
              <w:t xml:space="preserve"> are a first authorised copy.</w:t>
            </w:r>
          </w:p>
        </w:tc>
      </w:tr>
      <w:tr w:rsidR="005B7EFB" w14:paraId="1597AEB5" w14:textId="77777777" w:rsidTr="00F47A3C">
        <w:trPr>
          <w:trHeight w:val="81"/>
          <w:jc w:val="center"/>
        </w:trPr>
        <w:tc>
          <w:tcPr>
            <w:tcW w:w="2500" w:type="pct"/>
          </w:tcPr>
          <w:p w14:paraId="0B724AFD" w14:textId="1D064983" w:rsidR="005B7EFB" w:rsidRPr="006A7189" w:rsidRDefault="005B7EFB" w:rsidP="005B7EFB">
            <w:pPr>
              <w:pStyle w:val="AOAltHead2"/>
              <w:widowControl w:val="0"/>
              <w:numPr>
                <w:ilvl w:val="0"/>
                <w:numId w:val="0"/>
              </w:numPr>
              <w:ind w:left="720"/>
              <w:rPr>
                <w:lang w:val="es"/>
              </w:rPr>
            </w:pPr>
            <w:r w:rsidRPr="00EC3D35">
              <w:rPr>
                <w:lang w:val="es-ES"/>
              </w:rPr>
              <w:t>Beacon</w:t>
            </w:r>
            <w:r w:rsidRPr="00EC3D35">
              <w:rPr>
                <w:lang w:val="es"/>
              </w:rPr>
              <w:t xml:space="preserve"> entrega en este acto al Agente de Garantías un certificado de persona con facultad</w:t>
            </w:r>
            <w:r>
              <w:rPr>
                <w:lang w:val="es"/>
              </w:rPr>
              <w:t xml:space="preserve"> certificante</w:t>
            </w:r>
            <w:r w:rsidRPr="006A7189">
              <w:rPr>
                <w:lang w:val="es"/>
              </w:rPr>
              <w:t xml:space="preserve"> </w:t>
            </w:r>
            <w:r>
              <w:rPr>
                <w:lang w:val="es"/>
              </w:rPr>
              <w:t xml:space="preserve">de la Sociedad </w:t>
            </w:r>
            <w:r w:rsidRPr="006A7189">
              <w:rPr>
                <w:lang w:val="es"/>
              </w:rPr>
              <w:t xml:space="preserve">acreditando: (i) </w:t>
            </w:r>
            <w:r w:rsidRPr="00040FC6">
              <w:rPr>
                <w:lang w:val="es"/>
              </w:rPr>
              <w:t xml:space="preserve">la titularidad de las </w:t>
            </w:r>
            <w:r>
              <w:rPr>
                <w:lang w:val="es"/>
              </w:rPr>
              <w:t>Participaciones</w:t>
            </w:r>
            <w:r w:rsidRPr="00040FC6">
              <w:rPr>
                <w:lang w:val="es"/>
              </w:rPr>
              <w:t xml:space="preserve"> </w:t>
            </w:r>
            <w:r>
              <w:rPr>
                <w:lang w:val="es"/>
              </w:rPr>
              <w:t xml:space="preserve">(tal y como dicho término se define en la Prenda sobre Participaciones) </w:t>
            </w:r>
            <w:r w:rsidRPr="00040FC6">
              <w:rPr>
                <w:lang w:val="es"/>
              </w:rPr>
              <w:t xml:space="preserve">por parte </w:t>
            </w:r>
            <w:r>
              <w:rPr>
                <w:lang w:val="es"/>
              </w:rPr>
              <w:t xml:space="preserve">de </w:t>
            </w:r>
            <w:r w:rsidRPr="00EC3D35">
              <w:rPr>
                <w:lang w:val="es-ES"/>
              </w:rPr>
              <w:t>Beacon</w:t>
            </w:r>
            <w:r w:rsidRPr="006A7189">
              <w:rPr>
                <w:lang w:val="es"/>
              </w:rPr>
              <w:t>, (</w:t>
            </w:r>
            <w:proofErr w:type="spellStart"/>
            <w:r w:rsidRPr="006A7189">
              <w:rPr>
                <w:lang w:val="es"/>
              </w:rPr>
              <w:t>ii</w:t>
            </w:r>
            <w:proofErr w:type="spellEnd"/>
            <w:r w:rsidRPr="006A7189">
              <w:rPr>
                <w:lang w:val="es"/>
              </w:rPr>
              <w:t xml:space="preserve">) que las mismas se encuentran libres de cargas y de gravámenes (a excepción de la </w:t>
            </w:r>
            <w:r>
              <w:rPr>
                <w:lang w:val="es-ES"/>
              </w:rPr>
              <w:t>Prenda sobre</w:t>
            </w:r>
            <w:r w:rsidRPr="00403CEF">
              <w:rPr>
                <w:lang w:val="es-ES"/>
              </w:rPr>
              <w:t xml:space="preserve"> </w:t>
            </w:r>
            <w:r>
              <w:rPr>
                <w:lang w:val="es-ES"/>
              </w:rPr>
              <w:t>Participaciones</w:t>
            </w:r>
            <w:r w:rsidRPr="006A7189">
              <w:rPr>
                <w:lang w:val="es"/>
              </w:rPr>
              <w:t>), y (</w:t>
            </w:r>
            <w:proofErr w:type="spellStart"/>
            <w:r w:rsidRPr="006A7189">
              <w:rPr>
                <w:lang w:val="es"/>
              </w:rPr>
              <w:t>iii</w:t>
            </w:r>
            <w:proofErr w:type="spellEnd"/>
            <w:r w:rsidRPr="006A7189">
              <w:rPr>
                <w:lang w:val="es"/>
              </w:rPr>
              <w:t xml:space="preserve">) </w:t>
            </w:r>
            <w:r w:rsidRPr="006A7189">
              <w:rPr>
                <w:lang w:val="es-ES_tradnl"/>
              </w:rPr>
              <w:t xml:space="preserve">que la </w:t>
            </w:r>
            <w:r>
              <w:rPr>
                <w:lang w:val="es-ES_tradnl"/>
              </w:rPr>
              <w:t xml:space="preserve">novación, </w:t>
            </w:r>
            <w:r w:rsidRPr="006A7189">
              <w:rPr>
                <w:lang w:val="es-ES_tradnl"/>
              </w:rPr>
              <w:t xml:space="preserve">extensión y ratificación de </w:t>
            </w:r>
            <w:r>
              <w:rPr>
                <w:lang w:val="es-ES_tradnl"/>
              </w:rPr>
              <w:t xml:space="preserve">la </w:t>
            </w:r>
            <w:r>
              <w:rPr>
                <w:lang w:val="es-ES"/>
              </w:rPr>
              <w:t>Prenda sobre</w:t>
            </w:r>
            <w:r w:rsidRPr="00403CEF">
              <w:rPr>
                <w:lang w:val="es-ES"/>
              </w:rPr>
              <w:t xml:space="preserve"> </w:t>
            </w:r>
            <w:r>
              <w:rPr>
                <w:lang w:val="es-ES"/>
              </w:rPr>
              <w:t xml:space="preserve">Participaciones </w:t>
            </w:r>
            <w:r>
              <w:rPr>
                <w:lang w:val="es-ES_tradnl"/>
              </w:rPr>
              <w:t xml:space="preserve">en favor de las Partes Garantizadas </w:t>
            </w:r>
            <w:r w:rsidRPr="006A7189">
              <w:rPr>
                <w:lang w:val="es-ES_tradnl"/>
              </w:rPr>
              <w:t xml:space="preserve">ha sido debidamente anotada en </w:t>
            </w:r>
            <w:r>
              <w:rPr>
                <w:lang w:val="es-ES_tradnl"/>
              </w:rPr>
              <w:t>el</w:t>
            </w:r>
            <w:r w:rsidRPr="006A7189">
              <w:rPr>
                <w:lang w:val="es-ES_tradnl"/>
              </w:rPr>
              <w:t xml:space="preserve"> Libro Registro de </w:t>
            </w:r>
            <w:r>
              <w:rPr>
                <w:lang w:val="es-ES_tradnl"/>
              </w:rPr>
              <w:t xml:space="preserve">Socio </w:t>
            </w:r>
            <w:r>
              <w:rPr>
                <w:lang w:val="es"/>
              </w:rPr>
              <w:t>(tal y como dicho término se define en la Prenda sobre Participaciones)</w:t>
            </w:r>
            <w:r w:rsidRPr="006A7189">
              <w:rPr>
                <w:lang w:val="es-ES_tradnl"/>
              </w:rPr>
              <w:t xml:space="preserve"> (incorporando una fotocopia de </w:t>
            </w:r>
            <w:r w:rsidRPr="00403CEF">
              <w:rPr>
                <w:lang w:val="es-ES_tradnl"/>
              </w:rPr>
              <w:t>dicho</w:t>
            </w:r>
            <w:r>
              <w:rPr>
                <w:lang w:val="es-ES_tradnl"/>
              </w:rPr>
              <w:t>s</w:t>
            </w:r>
            <w:r w:rsidRPr="00403CEF">
              <w:rPr>
                <w:lang w:val="es-ES_tradnl"/>
              </w:rPr>
              <w:t xml:space="preserve"> Libro</w:t>
            </w:r>
            <w:r>
              <w:rPr>
                <w:lang w:val="es-ES_tradnl"/>
              </w:rPr>
              <w:t>s</w:t>
            </w:r>
            <w:r w:rsidRPr="00403CEF">
              <w:rPr>
                <w:lang w:val="es-ES_tradnl"/>
              </w:rPr>
              <w:t xml:space="preserve"> Registro de </w:t>
            </w:r>
            <w:r>
              <w:rPr>
                <w:lang w:val="es-ES_tradnl"/>
              </w:rPr>
              <w:t>Socios</w:t>
            </w:r>
            <w:r w:rsidRPr="00403CEF">
              <w:rPr>
                <w:lang w:val="es-ES_tradnl"/>
              </w:rPr>
              <w:t xml:space="preserve"> con la</w:t>
            </w:r>
            <w:r>
              <w:rPr>
                <w:lang w:val="es-ES_tradnl"/>
              </w:rPr>
              <w:t xml:space="preserve"> novación,</w:t>
            </w:r>
            <w:r w:rsidRPr="00403CEF">
              <w:rPr>
                <w:lang w:val="es-ES_tradnl"/>
              </w:rPr>
              <w:t xml:space="preserve"> extensión y ratificación de la </w:t>
            </w:r>
            <w:r>
              <w:rPr>
                <w:lang w:val="es-ES"/>
              </w:rPr>
              <w:t>Prenda sobre</w:t>
            </w:r>
            <w:r w:rsidRPr="00403CEF">
              <w:rPr>
                <w:lang w:val="es-ES"/>
              </w:rPr>
              <w:t xml:space="preserve"> </w:t>
            </w:r>
            <w:r>
              <w:rPr>
                <w:lang w:val="es-ES"/>
              </w:rPr>
              <w:t xml:space="preserve">Participaciones </w:t>
            </w:r>
            <w:r w:rsidRPr="00403CEF">
              <w:rPr>
                <w:lang w:val="es-ES_tradnl"/>
              </w:rPr>
              <w:t xml:space="preserve">debidamente anotada). Copia de dicho certificado se adjunta como </w:t>
            </w:r>
            <w:r>
              <w:rPr>
                <w:b/>
                <w:lang w:val="es-ES_tradnl"/>
              </w:rPr>
              <w:t xml:space="preserve">Anexo 3 </w:t>
            </w:r>
            <w:r w:rsidRPr="00403CEF">
              <w:rPr>
                <w:lang w:val="es-ES_tradnl"/>
              </w:rPr>
              <w:t>a</w:t>
            </w:r>
            <w:r>
              <w:rPr>
                <w:lang w:val="es-ES_tradnl"/>
              </w:rPr>
              <w:t xml:space="preserve"> la presente Póliza</w:t>
            </w:r>
            <w:r w:rsidRPr="006A7189">
              <w:rPr>
                <w:lang w:val="es-ES_tradnl"/>
              </w:rPr>
              <w:t>.</w:t>
            </w:r>
          </w:p>
        </w:tc>
        <w:tc>
          <w:tcPr>
            <w:tcW w:w="2500" w:type="pct"/>
          </w:tcPr>
          <w:p w14:paraId="3AB38F92" w14:textId="2AFF1DB7" w:rsidR="005B7EFB" w:rsidRPr="00F7586C" w:rsidRDefault="005B7EFB" w:rsidP="005B7EFB">
            <w:pPr>
              <w:pStyle w:val="AOGenNum1Para"/>
              <w:keepNext w:val="0"/>
              <w:widowControl w:val="0"/>
              <w:numPr>
                <w:ilvl w:val="0"/>
                <w:numId w:val="0"/>
              </w:numPr>
              <w:ind w:left="720"/>
              <w:rPr>
                <w:b w:val="0"/>
              </w:rPr>
            </w:pPr>
            <w:r w:rsidRPr="006D554B">
              <w:rPr>
                <w:b w:val="0"/>
              </w:rPr>
              <w:t>Beacon</w:t>
            </w:r>
            <w:r>
              <w:rPr>
                <w:b w:val="0"/>
              </w:rPr>
              <w:t xml:space="preserve"> hereby </w:t>
            </w:r>
            <w:r w:rsidRPr="00F7586C">
              <w:rPr>
                <w:b w:val="0"/>
              </w:rPr>
              <w:t>deliver</w:t>
            </w:r>
            <w:r>
              <w:rPr>
                <w:b w:val="0"/>
              </w:rPr>
              <w:t>s</w:t>
            </w:r>
            <w:r w:rsidRPr="00F7586C">
              <w:rPr>
                <w:b w:val="0"/>
              </w:rPr>
              <w:t xml:space="preserve"> to the Security </w:t>
            </w:r>
            <w:r>
              <w:rPr>
                <w:b w:val="0"/>
              </w:rPr>
              <w:t>Trustee</w:t>
            </w:r>
            <w:r w:rsidRPr="00F7586C">
              <w:rPr>
                <w:b w:val="0"/>
              </w:rPr>
              <w:t xml:space="preserve"> a certificate issued by a person </w:t>
            </w:r>
            <w:r>
              <w:rPr>
                <w:b w:val="0"/>
              </w:rPr>
              <w:t>of the Company</w:t>
            </w:r>
            <w:r w:rsidRPr="00F7586C">
              <w:rPr>
                <w:b w:val="0"/>
              </w:rPr>
              <w:t xml:space="preserve"> with powers to certify: (i) the ownership of the Quotas (as defined in the Pledges over Quotas) by </w:t>
            </w:r>
            <w:r>
              <w:rPr>
                <w:b w:val="0"/>
              </w:rPr>
              <w:t>Beacon</w:t>
            </w:r>
            <w:r w:rsidRPr="00F7586C">
              <w:rPr>
                <w:b w:val="0"/>
              </w:rPr>
              <w:t>, (ii) that the same are free from any charge, encumbrance and third party liens (save for the Pledge over Quotas), and (iii) that the</w:t>
            </w:r>
            <w:r>
              <w:rPr>
                <w:b w:val="0"/>
              </w:rPr>
              <w:t xml:space="preserve"> amendment,</w:t>
            </w:r>
            <w:r w:rsidRPr="00F7586C">
              <w:rPr>
                <w:b w:val="0"/>
              </w:rPr>
              <w:t xml:space="preserve"> extension and ratification of the Pledge over Quotas in favour of the Secured Parties has been dul</w:t>
            </w:r>
            <w:r>
              <w:rPr>
                <w:b w:val="0"/>
              </w:rPr>
              <w:t>y recorded in the Registry Book</w:t>
            </w:r>
            <w:r w:rsidRPr="00F7586C">
              <w:rPr>
                <w:b w:val="0"/>
              </w:rPr>
              <w:t xml:space="preserve"> of Shareholders (as defined in the Pledge over Quotas) (including a</w:t>
            </w:r>
            <w:r>
              <w:rPr>
                <w:b w:val="0"/>
              </w:rPr>
              <w:t xml:space="preserve"> photocopy of the Registry Book</w:t>
            </w:r>
            <w:r w:rsidRPr="00F7586C">
              <w:rPr>
                <w:b w:val="0"/>
              </w:rPr>
              <w:t xml:space="preserve"> of Shareholders with such </w:t>
            </w:r>
            <w:r>
              <w:rPr>
                <w:b w:val="0"/>
              </w:rPr>
              <w:t xml:space="preserve">amendment, </w:t>
            </w:r>
            <w:r w:rsidRPr="00F7586C">
              <w:rPr>
                <w:b w:val="0"/>
              </w:rPr>
              <w:t xml:space="preserve">extension and ratification recorded). A copy of such certificate is attached hereto as </w:t>
            </w:r>
            <w:r>
              <w:t>Annex 3.</w:t>
            </w:r>
          </w:p>
        </w:tc>
      </w:tr>
      <w:tr w:rsidR="005B7EFB" w:rsidRPr="00771EAB" w14:paraId="42B5DB3A" w14:textId="77777777" w:rsidTr="00F47A3C">
        <w:trPr>
          <w:trHeight w:val="81"/>
          <w:jc w:val="center"/>
        </w:trPr>
        <w:tc>
          <w:tcPr>
            <w:tcW w:w="2500" w:type="pct"/>
          </w:tcPr>
          <w:p w14:paraId="771600FC" w14:textId="5D04ED90" w:rsidR="005B7EFB" w:rsidRDefault="005B7EFB" w:rsidP="005B7EFB">
            <w:pPr>
              <w:pStyle w:val="AOAltHead2"/>
              <w:widowControl w:val="0"/>
              <w:numPr>
                <w:ilvl w:val="0"/>
                <w:numId w:val="0"/>
              </w:numPr>
              <w:ind w:left="720"/>
              <w:rPr>
                <w:lang w:val="es-ES"/>
              </w:rPr>
            </w:pPr>
            <w:r>
              <w:rPr>
                <w:lang w:val="es-ES"/>
              </w:rPr>
              <w:t>La Sociedad presente en este acto toma razón de la novación, extensión y ratificación acordada por las Partes en la presente Póliza.</w:t>
            </w:r>
          </w:p>
        </w:tc>
        <w:tc>
          <w:tcPr>
            <w:tcW w:w="2500" w:type="pct"/>
          </w:tcPr>
          <w:p w14:paraId="2230BC55" w14:textId="1485CBE7" w:rsidR="005B7EFB" w:rsidRPr="00771EAB" w:rsidRDefault="005B7EFB" w:rsidP="005B7EFB">
            <w:pPr>
              <w:pStyle w:val="AOGenNum1Para"/>
              <w:keepNext w:val="0"/>
              <w:widowControl w:val="0"/>
              <w:numPr>
                <w:ilvl w:val="0"/>
                <w:numId w:val="0"/>
              </w:numPr>
              <w:ind w:left="720"/>
              <w:rPr>
                <w:b w:val="0"/>
              </w:rPr>
            </w:pPr>
            <w:r w:rsidRPr="00771EAB">
              <w:rPr>
                <w:b w:val="0"/>
              </w:rPr>
              <w:t xml:space="preserve">The Company </w:t>
            </w:r>
            <w:r>
              <w:rPr>
                <w:b w:val="0"/>
              </w:rPr>
              <w:t>hereby acknowledge</w:t>
            </w:r>
            <w:r w:rsidRPr="00771EAB">
              <w:rPr>
                <w:b w:val="0"/>
              </w:rPr>
              <w:t xml:space="preserve"> the </w:t>
            </w:r>
            <w:r>
              <w:rPr>
                <w:b w:val="0"/>
              </w:rPr>
              <w:t xml:space="preserve">amendment, </w:t>
            </w:r>
            <w:r w:rsidRPr="00771EAB">
              <w:rPr>
                <w:b w:val="0"/>
              </w:rPr>
              <w:t xml:space="preserve">extension and ratification agreed by the Parties in this </w:t>
            </w:r>
            <w:r>
              <w:rPr>
                <w:b w:val="0"/>
              </w:rPr>
              <w:t>Deed.</w:t>
            </w:r>
          </w:p>
        </w:tc>
      </w:tr>
      <w:tr w:rsidR="00465335" w:rsidRPr="00771EAB" w14:paraId="70B314EA" w14:textId="77777777" w:rsidTr="00F47A3C">
        <w:trPr>
          <w:trHeight w:val="81"/>
          <w:jc w:val="center"/>
        </w:trPr>
        <w:tc>
          <w:tcPr>
            <w:tcW w:w="2500" w:type="pct"/>
          </w:tcPr>
          <w:p w14:paraId="55A80B72" w14:textId="77777777" w:rsidR="00465335" w:rsidRPr="006D554B" w:rsidRDefault="00465335" w:rsidP="00465335">
            <w:pPr>
              <w:pStyle w:val="AOAltHead2"/>
              <w:widowControl w:val="0"/>
              <w:numPr>
                <w:ilvl w:val="1"/>
                <w:numId w:val="25"/>
              </w:numPr>
              <w:rPr>
                <w:lang w:val="es-ES"/>
              </w:rPr>
            </w:pPr>
            <w:bookmarkStart w:id="97" w:name="_Toc99457876"/>
            <w:r w:rsidRPr="003636D4">
              <w:rPr>
                <w:b/>
                <w:snapToGrid w:val="0"/>
                <w:lang w:val="es-ES"/>
              </w:rPr>
              <w:t>Prenda sobre Cuentas</w:t>
            </w:r>
            <w:bookmarkEnd w:id="97"/>
          </w:p>
        </w:tc>
        <w:tc>
          <w:tcPr>
            <w:tcW w:w="2500" w:type="pct"/>
          </w:tcPr>
          <w:p w14:paraId="2ACC0A47" w14:textId="77777777" w:rsidR="00465335" w:rsidRPr="006D554B" w:rsidRDefault="00465335" w:rsidP="00465335">
            <w:pPr>
              <w:pStyle w:val="AOGenNum1Para"/>
              <w:keepNext w:val="0"/>
              <w:widowControl w:val="0"/>
              <w:numPr>
                <w:ilvl w:val="1"/>
                <w:numId w:val="26"/>
              </w:numPr>
              <w:tabs>
                <w:tab w:val="clear" w:pos="720"/>
                <w:tab w:val="num" w:pos="1713"/>
              </w:tabs>
            </w:pPr>
            <w:bookmarkStart w:id="98" w:name="_Toc99457889"/>
            <w:r w:rsidRPr="00A6092A">
              <w:t>Pledge over Bank Accounts</w:t>
            </w:r>
            <w:bookmarkEnd w:id="98"/>
          </w:p>
        </w:tc>
      </w:tr>
      <w:tr w:rsidR="00465335" w:rsidRPr="00771EAB" w14:paraId="4D4B7CA4" w14:textId="77777777" w:rsidTr="00F47A3C">
        <w:trPr>
          <w:trHeight w:val="81"/>
          <w:jc w:val="center"/>
        </w:trPr>
        <w:tc>
          <w:tcPr>
            <w:tcW w:w="2500" w:type="pct"/>
          </w:tcPr>
          <w:p w14:paraId="21364E05" w14:textId="77777777" w:rsidR="00465335" w:rsidRPr="00A72BB2" w:rsidRDefault="00465335" w:rsidP="00465335">
            <w:pPr>
              <w:pStyle w:val="AOAltHead2"/>
              <w:widowControl w:val="0"/>
              <w:numPr>
                <w:ilvl w:val="0"/>
                <w:numId w:val="0"/>
              </w:numPr>
              <w:ind w:left="720"/>
              <w:rPr>
                <w:lang w:val="es-ES"/>
              </w:rPr>
            </w:pPr>
            <w:r w:rsidRPr="00A72BB2">
              <w:rPr>
                <w:lang w:val="es-ES"/>
              </w:rPr>
              <w:t xml:space="preserve">Las Partes, por la presente, requieren e instruyen al Notario interviniente para que envíe, por </w:t>
            </w:r>
            <w:r w:rsidRPr="00A72BB2">
              <w:rPr>
                <w:snapToGrid w:val="0"/>
                <w:lang w:val="es-ES"/>
              </w:rPr>
              <w:t>correo</w:t>
            </w:r>
            <w:r w:rsidRPr="00A72BB2">
              <w:rPr>
                <w:lang w:val="es-ES"/>
              </w:rPr>
              <w:t xml:space="preserve"> certificado con acuse de recibo, al Banco Depositario (tal y como dicho término se define en la Póliza de Prenda sobre Cuentas y a la dirección que consta en el Anexo 2 de la misma) la notificación suscrita por Beacon Iberia y entregada en este acto al Notario, cuyo texto coincide con el modelo que se acompaña como Anexo 4 a la presente póliza, y a través de la que</w:t>
            </w:r>
            <w:r>
              <w:rPr>
                <w:lang w:val="es-ES"/>
              </w:rPr>
              <w:t xml:space="preserve"> </w:t>
            </w:r>
            <w:r w:rsidRPr="00A72BB2">
              <w:rPr>
                <w:lang w:val="es-ES"/>
              </w:rPr>
              <w:t xml:space="preserve">se notifica al Banco Depositario la </w:t>
            </w:r>
            <w:r w:rsidRPr="00A72BB2">
              <w:rPr>
                <w:lang w:val="es-ES"/>
              </w:rPr>
              <w:lastRenderedPageBreak/>
              <w:t>extensión y ratificación de la Prenda sobre Cuentas</w:t>
            </w:r>
            <w:r>
              <w:rPr>
                <w:lang w:val="es-ES"/>
              </w:rPr>
              <w:t>.</w:t>
            </w:r>
          </w:p>
        </w:tc>
        <w:tc>
          <w:tcPr>
            <w:tcW w:w="2500" w:type="pct"/>
          </w:tcPr>
          <w:p w14:paraId="3B5BD6C8" w14:textId="77777777" w:rsidR="00465335" w:rsidRPr="00A72BB2" w:rsidRDefault="00465335" w:rsidP="00465335">
            <w:pPr>
              <w:pStyle w:val="AOGenNum1Para"/>
              <w:widowControl w:val="0"/>
              <w:numPr>
                <w:ilvl w:val="0"/>
                <w:numId w:val="0"/>
              </w:numPr>
              <w:ind w:left="720"/>
              <w:rPr>
                <w:b w:val="0"/>
              </w:rPr>
            </w:pPr>
            <w:r w:rsidRPr="00A72BB2">
              <w:rPr>
                <w:b w:val="0"/>
              </w:rPr>
              <w:lastRenderedPageBreak/>
              <w:t xml:space="preserve">The Parties hereby require and instruct the attesting Notary to send, by registered post with acknowledgement of receipt, to the Depositary Bank (as this term is defined in the Deed of Pledge over Bank Accounts and at the address shown in Annex 2 of the same) the notice signed by Beacon Iberia and delivered herewith to the Notary, according to the form attached hereto as Annex 4, by virtue of which </w:t>
            </w:r>
            <w:r>
              <w:rPr>
                <w:b w:val="0"/>
              </w:rPr>
              <w:t xml:space="preserve">it </w:t>
            </w:r>
            <w:r w:rsidRPr="00A72BB2">
              <w:rPr>
                <w:b w:val="0"/>
              </w:rPr>
              <w:t>notifies the Depositary Bank of the creation of the Extension Pledge</w:t>
            </w:r>
            <w:r>
              <w:rPr>
                <w:b w:val="0"/>
              </w:rPr>
              <w:t xml:space="preserve">. </w:t>
            </w:r>
          </w:p>
        </w:tc>
      </w:tr>
      <w:tr w:rsidR="00465335" w:rsidRPr="00771EAB" w14:paraId="0438405A" w14:textId="77777777" w:rsidTr="00F47A3C">
        <w:trPr>
          <w:trHeight w:val="81"/>
          <w:jc w:val="center"/>
        </w:trPr>
        <w:tc>
          <w:tcPr>
            <w:tcW w:w="2500" w:type="pct"/>
          </w:tcPr>
          <w:p w14:paraId="63F96C14" w14:textId="77777777" w:rsidR="00465335" w:rsidRPr="00C51F6D" w:rsidRDefault="00465335" w:rsidP="00465335">
            <w:pPr>
              <w:pStyle w:val="AOAltHead2"/>
              <w:widowControl w:val="0"/>
              <w:numPr>
                <w:ilvl w:val="0"/>
                <w:numId w:val="0"/>
              </w:numPr>
              <w:ind w:left="720"/>
              <w:rPr>
                <w:lang w:val="es-ES"/>
              </w:rPr>
            </w:pPr>
            <w:r>
              <w:rPr>
                <w:lang w:val="es-ES"/>
              </w:rPr>
              <w:t>Todos los costes ocasionados como consecuencia de la notificación referida en el apartado anterior serán satisfechos por Beacon Iberia.</w:t>
            </w:r>
          </w:p>
        </w:tc>
        <w:tc>
          <w:tcPr>
            <w:tcW w:w="2500" w:type="pct"/>
          </w:tcPr>
          <w:p w14:paraId="72B4268F" w14:textId="77777777" w:rsidR="00465335" w:rsidRPr="00A72BB2" w:rsidRDefault="00465335" w:rsidP="00465335">
            <w:pPr>
              <w:pStyle w:val="AOGenNum1Para"/>
              <w:keepNext w:val="0"/>
              <w:widowControl w:val="0"/>
              <w:numPr>
                <w:ilvl w:val="0"/>
                <w:numId w:val="0"/>
              </w:numPr>
              <w:ind w:left="720"/>
              <w:rPr>
                <w:b w:val="0"/>
              </w:rPr>
            </w:pPr>
            <w:r w:rsidRPr="0011474A">
              <w:rPr>
                <w:b w:val="0"/>
              </w:rPr>
              <w:t xml:space="preserve">All costs incurred </w:t>
            </w:r>
            <w:proofErr w:type="gramStart"/>
            <w:r w:rsidRPr="0011474A">
              <w:rPr>
                <w:b w:val="0"/>
              </w:rPr>
              <w:t>as a result of</w:t>
            </w:r>
            <w:proofErr w:type="gramEnd"/>
            <w:r w:rsidRPr="0011474A">
              <w:rPr>
                <w:b w:val="0"/>
              </w:rPr>
              <w:t xml:space="preserve"> the notification referred to in </w:t>
            </w:r>
            <w:r w:rsidRPr="00A72BB2">
              <w:rPr>
                <w:b w:val="0"/>
              </w:rPr>
              <w:t>the preceding paragraph shall be satisfied by Beacon Iberia.</w:t>
            </w:r>
          </w:p>
        </w:tc>
      </w:tr>
      <w:tr w:rsidR="00465335" w:rsidRPr="00771EAB" w14:paraId="6961D5C1" w14:textId="77777777" w:rsidTr="00F47A3C">
        <w:trPr>
          <w:trHeight w:val="81"/>
          <w:jc w:val="center"/>
        </w:trPr>
        <w:tc>
          <w:tcPr>
            <w:tcW w:w="2500" w:type="pct"/>
          </w:tcPr>
          <w:p w14:paraId="7D096EAB" w14:textId="77777777" w:rsidR="00465335" w:rsidRPr="00C51F6D" w:rsidRDefault="00465335" w:rsidP="00465335">
            <w:pPr>
              <w:pStyle w:val="AOAltHead2"/>
              <w:widowControl w:val="0"/>
              <w:numPr>
                <w:ilvl w:val="0"/>
                <w:numId w:val="0"/>
              </w:numPr>
              <w:ind w:left="720"/>
              <w:rPr>
                <w:lang w:val="es-ES"/>
              </w:rPr>
            </w:pPr>
            <w:r>
              <w:rPr>
                <w:lang w:val="es-ES"/>
              </w:rPr>
              <w:t>Beacon Iberia se compromete a llevar a cabo sus mejores esfuerzos para obtener el acuse de recibo, por parte del Banco Depositario, de la notificación enviada según lo establecido anteriormente en un plazo de quince (15) Días Hábiles desde la fecha del otorgamiento de la presente Póliza.</w:t>
            </w:r>
          </w:p>
        </w:tc>
        <w:tc>
          <w:tcPr>
            <w:tcW w:w="2500" w:type="pct"/>
          </w:tcPr>
          <w:p w14:paraId="6DE79C3E" w14:textId="77777777" w:rsidR="00465335" w:rsidRPr="00CC71C9" w:rsidRDefault="00465335" w:rsidP="00465335">
            <w:pPr>
              <w:pStyle w:val="AOGenNum1Para"/>
              <w:keepNext w:val="0"/>
              <w:widowControl w:val="0"/>
              <w:numPr>
                <w:ilvl w:val="0"/>
                <w:numId w:val="0"/>
              </w:numPr>
              <w:ind w:left="720"/>
              <w:rPr>
                <w:b w:val="0"/>
              </w:rPr>
            </w:pPr>
            <w:r w:rsidRPr="00A72BB2">
              <w:rPr>
                <w:b w:val="0"/>
              </w:rPr>
              <w:t>Beacon Iberia</w:t>
            </w:r>
            <w:r w:rsidRPr="0011474A">
              <w:rPr>
                <w:b w:val="0"/>
              </w:rPr>
              <w:t xml:space="preserve"> undertakes to use its best efforts to obtain acknowledgement </w:t>
            </w:r>
            <w:r>
              <w:rPr>
                <w:b w:val="0"/>
              </w:rPr>
              <w:t xml:space="preserve">receive, </w:t>
            </w:r>
            <w:r w:rsidRPr="0011474A">
              <w:rPr>
                <w:b w:val="0"/>
              </w:rPr>
              <w:t>from the Depositary Bank</w:t>
            </w:r>
            <w:r>
              <w:rPr>
                <w:b w:val="0"/>
              </w:rPr>
              <w:t>, of the notice sent according to the established in this Clause 5.1, within fifteen (15) Business Days following the date in which this Deed is granted.</w:t>
            </w:r>
          </w:p>
        </w:tc>
      </w:tr>
      <w:tr w:rsidR="005B7EFB" w:rsidRPr="00FF56C8" w14:paraId="30B16144" w14:textId="77777777" w:rsidTr="00F47A3C">
        <w:trPr>
          <w:trHeight w:val="81"/>
          <w:jc w:val="center"/>
        </w:trPr>
        <w:tc>
          <w:tcPr>
            <w:tcW w:w="2500" w:type="pct"/>
          </w:tcPr>
          <w:p w14:paraId="4D715114" w14:textId="7A49F23F" w:rsidR="005B7EFB" w:rsidRPr="00FF56C8" w:rsidRDefault="005B7EFB" w:rsidP="005B7EFB">
            <w:pPr>
              <w:pStyle w:val="AOHead1"/>
              <w:keepNext w:val="0"/>
              <w:widowControl w:val="0"/>
              <w:rPr>
                <w:rFonts w:eastAsia="Times New Roman"/>
                <w:lang w:val="es-ES"/>
              </w:rPr>
            </w:pPr>
            <w:bookmarkStart w:id="99" w:name="_Toc164072647"/>
            <w:r>
              <w:rPr>
                <w:lang w:val="es-ES"/>
              </w:rPr>
              <w:t>Novación de la Garantía</w:t>
            </w:r>
            <w:bookmarkEnd w:id="99"/>
          </w:p>
        </w:tc>
        <w:tc>
          <w:tcPr>
            <w:tcW w:w="2500" w:type="pct"/>
          </w:tcPr>
          <w:p w14:paraId="0F404C07" w14:textId="01DF4B6F" w:rsidR="005B7EFB" w:rsidRPr="00FF56C8" w:rsidRDefault="005B7EFB" w:rsidP="005B7EFB">
            <w:pPr>
              <w:pStyle w:val="AOGenNum1"/>
              <w:keepNext w:val="0"/>
              <w:widowControl w:val="0"/>
              <w:rPr>
                <w:rFonts w:eastAsia="Times New Roman"/>
                <w:lang w:val="es-ES"/>
              </w:rPr>
            </w:pPr>
            <w:bookmarkStart w:id="100" w:name="_Toc164072660"/>
            <w:r>
              <w:rPr>
                <w:lang w:val="en-US"/>
              </w:rPr>
              <w:t>Amendment of the Guarantee</w:t>
            </w:r>
            <w:bookmarkEnd w:id="100"/>
          </w:p>
        </w:tc>
      </w:tr>
      <w:tr w:rsidR="005B7EFB" w:rsidRPr="00FF56C8" w14:paraId="7F26A2E9" w14:textId="77777777" w:rsidTr="00F47A3C">
        <w:trPr>
          <w:trHeight w:val="81"/>
          <w:jc w:val="center"/>
        </w:trPr>
        <w:tc>
          <w:tcPr>
            <w:tcW w:w="2500" w:type="pct"/>
          </w:tcPr>
          <w:p w14:paraId="31E86B88" w14:textId="2AA713C7" w:rsidR="005B7EFB" w:rsidRPr="005B7EFB" w:rsidRDefault="005B7EFB" w:rsidP="005B7EFB">
            <w:pPr>
              <w:pStyle w:val="AOHead1"/>
              <w:keepNext w:val="0"/>
              <w:widowControl w:val="0"/>
              <w:numPr>
                <w:ilvl w:val="0"/>
                <w:numId w:val="0"/>
              </w:numPr>
              <w:ind w:left="720"/>
              <w:rPr>
                <w:b w:val="0"/>
                <w:caps w:val="0"/>
                <w:kern w:val="0"/>
                <w:lang w:val="es-ES"/>
              </w:rPr>
            </w:pPr>
            <w:r w:rsidRPr="005B7EFB">
              <w:rPr>
                <w:b w:val="0"/>
                <w:caps w:val="0"/>
                <w:kern w:val="0"/>
                <w:lang w:val="es-ES"/>
              </w:rPr>
              <w:t>El Garante, el Agente de Garantías y las Partes Garantizadas, acuerdan que la Garantía no se considerará asumida ni otorgada en relación con, y no se extenderá a, ninguna garantía u obligación derivada del Term Facility y el CAPEX Facility (tal y como estos términos se definen en el Contrato de Crédito Autorizado 2024</w:t>
            </w:r>
            <w:r>
              <w:rPr>
                <w:b w:val="0"/>
                <w:caps w:val="0"/>
                <w:kern w:val="0"/>
                <w:lang w:val="es-ES"/>
              </w:rPr>
              <w:t xml:space="preserve"> y en el Contrato de Crédito Autorizado 2025</w:t>
            </w:r>
            <w:r w:rsidRPr="005B7EFB">
              <w:rPr>
                <w:b w:val="0"/>
                <w:caps w:val="0"/>
                <w:kern w:val="0"/>
                <w:lang w:val="es-ES"/>
              </w:rPr>
              <w:t>) bajo el Contrato de Crédito Autorizado 2024 y el Contrato de Crédito Autorizado 202</w:t>
            </w:r>
            <w:r>
              <w:rPr>
                <w:b w:val="0"/>
                <w:caps w:val="0"/>
                <w:kern w:val="0"/>
                <w:lang w:val="es-ES"/>
              </w:rPr>
              <w:t xml:space="preserve">5, </w:t>
            </w:r>
            <w:r w:rsidRPr="005B7EFB">
              <w:rPr>
                <w:b w:val="0"/>
                <w:caps w:val="0"/>
                <w:kern w:val="0"/>
                <w:lang w:val="es-ES"/>
              </w:rPr>
              <w:t>las obligaciones derivadas de los Contratos de Cobertura</w:t>
            </w:r>
            <w:r w:rsidRPr="005B7EFB">
              <w:rPr>
                <w:b w:val="0"/>
                <w:caps w:val="0"/>
                <w:kern w:val="0"/>
                <w:lang w:val="es-ES"/>
              </w:rPr>
              <w:t xml:space="preserve"> </w:t>
            </w:r>
            <w:r>
              <w:rPr>
                <w:b w:val="0"/>
                <w:caps w:val="0"/>
                <w:kern w:val="0"/>
                <w:lang w:val="es-ES"/>
              </w:rPr>
              <w:t xml:space="preserve">2024 y de los </w:t>
            </w:r>
            <w:r w:rsidRPr="005B7EFB">
              <w:rPr>
                <w:b w:val="0"/>
                <w:caps w:val="0"/>
                <w:kern w:val="0"/>
                <w:lang w:val="es-ES"/>
              </w:rPr>
              <w:t>Nuevos Contratos de Cobertura, en la medida en que lo anterior no pueda ser válidamente garantizado por resultar de aplicación la prohibición de asistencia financiera regulada en el artículo 143.2 del Real Decreto 1/2010, de 2 de julio, por el que se aprueba el texto refundido de la Ley de Sociedades de Capital.</w:t>
            </w:r>
          </w:p>
        </w:tc>
        <w:tc>
          <w:tcPr>
            <w:tcW w:w="2500" w:type="pct"/>
          </w:tcPr>
          <w:p w14:paraId="3C7211EE" w14:textId="7355F02D" w:rsidR="005B7EFB" w:rsidRPr="005B7EFB" w:rsidRDefault="005B7EFB" w:rsidP="005B7EFB">
            <w:pPr>
              <w:pStyle w:val="AOGenNum1"/>
              <w:keepNext w:val="0"/>
              <w:widowControl w:val="0"/>
              <w:numPr>
                <w:ilvl w:val="0"/>
                <w:numId w:val="0"/>
              </w:numPr>
              <w:ind w:left="720"/>
              <w:rPr>
                <w:b w:val="0"/>
                <w:caps w:val="0"/>
              </w:rPr>
            </w:pPr>
            <w:r w:rsidRPr="005B7EFB">
              <w:rPr>
                <w:b w:val="0"/>
                <w:caps w:val="0"/>
              </w:rPr>
              <w:t>The Guarantor, the Security Trustee and the Secured Parties, hereby agree that the Guarantee shall be deemed not to have been granted given, or undertaken in respect of an shall not extend to, any guarantee, obligations or liability derived from the Term Facility and the CAPEX Facility (as these terms are defined in the 2024 Authorized Credit Facilities Agreement</w:t>
            </w:r>
            <w:r w:rsidRPr="005B7EFB">
              <w:rPr>
                <w:b w:val="0"/>
                <w:caps w:val="0"/>
              </w:rPr>
              <w:t xml:space="preserve"> </w:t>
            </w:r>
            <w:r>
              <w:rPr>
                <w:b w:val="0"/>
                <w:caps w:val="0"/>
              </w:rPr>
              <w:t xml:space="preserve">and in the </w:t>
            </w:r>
            <w:r w:rsidRPr="005B7EFB">
              <w:rPr>
                <w:b w:val="0"/>
                <w:caps w:val="0"/>
              </w:rPr>
              <w:t>202</w:t>
            </w:r>
            <w:r>
              <w:rPr>
                <w:b w:val="0"/>
                <w:caps w:val="0"/>
              </w:rPr>
              <w:t>5</w:t>
            </w:r>
            <w:r w:rsidRPr="005B7EFB">
              <w:rPr>
                <w:b w:val="0"/>
                <w:caps w:val="0"/>
              </w:rPr>
              <w:t xml:space="preserve"> Authorized Credit Facilities Agreement) under the 2024 Authorized Credit Facilities Agreement and</w:t>
            </w:r>
            <w:r>
              <w:rPr>
                <w:b w:val="0"/>
                <w:caps w:val="0"/>
              </w:rPr>
              <w:t xml:space="preserve"> the </w:t>
            </w:r>
            <w:r w:rsidRPr="005B7EFB">
              <w:rPr>
                <w:b w:val="0"/>
                <w:caps w:val="0"/>
              </w:rPr>
              <w:t>202</w:t>
            </w:r>
            <w:r>
              <w:rPr>
                <w:b w:val="0"/>
                <w:caps w:val="0"/>
              </w:rPr>
              <w:t>5</w:t>
            </w:r>
            <w:r w:rsidRPr="005B7EFB">
              <w:rPr>
                <w:b w:val="0"/>
                <w:caps w:val="0"/>
              </w:rPr>
              <w:t xml:space="preserve"> Authorized Credit Facilities Agreement</w:t>
            </w:r>
            <w:r>
              <w:rPr>
                <w:b w:val="0"/>
                <w:caps w:val="0"/>
              </w:rPr>
              <w:t>, and</w:t>
            </w:r>
            <w:r w:rsidRPr="005B7EFB">
              <w:rPr>
                <w:b w:val="0"/>
                <w:caps w:val="0"/>
              </w:rPr>
              <w:t xml:space="preserve"> the obligations derived from the </w:t>
            </w:r>
            <w:r>
              <w:rPr>
                <w:b w:val="0"/>
                <w:caps w:val="0"/>
              </w:rPr>
              <w:t xml:space="preserve">2024 </w:t>
            </w:r>
            <w:r w:rsidRPr="005B7EFB">
              <w:rPr>
                <w:b w:val="0"/>
                <w:caps w:val="0"/>
              </w:rPr>
              <w:t>Hedging Agreements</w:t>
            </w:r>
            <w:r w:rsidRPr="005B7EFB">
              <w:rPr>
                <w:b w:val="0"/>
                <w:caps w:val="0"/>
              </w:rPr>
              <w:t xml:space="preserve"> </w:t>
            </w:r>
            <w:r>
              <w:rPr>
                <w:b w:val="0"/>
                <w:caps w:val="0"/>
              </w:rPr>
              <w:t xml:space="preserve">and the </w:t>
            </w:r>
            <w:r w:rsidRPr="005B7EFB">
              <w:rPr>
                <w:b w:val="0"/>
                <w:caps w:val="0"/>
              </w:rPr>
              <w:t xml:space="preserve">New Hedging Agreements, to the extent that such guarantee cannot be granted as this would contravene the prohibition of financial assistance under article 143.2 of the Royal Legislative Decree 1/2010, of July 2, approving the Consolidated Spanish Companies Act. </w:t>
            </w:r>
          </w:p>
        </w:tc>
      </w:tr>
      <w:tr w:rsidR="00465335" w:rsidRPr="00FF56C8" w14:paraId="4442EDE8" w14:textId="77777777" w:rsidTr="00F47A3C">
        <w:trPr>
          <w:trHeight w:val="81"/>
          <w:jc w:val="center"/>
        </w:trPr>
        <w:tc>
          <w:tcPr>
            <w:tcW w:w="2500" w:type="pct"/>
          </w:tcPr>
          <w:p w14:paraId="69524838" w14:textId="77777777" w:rsidR="00465335" w:rsidRPr="00FF56C8" w:rsidRDefault="00465335" w:rsidP="00465335">
            <w:pPr>
              <w:pStyle w:val="AOHead1"/>
              <w:keepNext w:val="0"/>
              <w:widowControl w:val="0"/>
              <w:rPr>
                <w:lang w:val="es-ES"/>
              </w:rPr>
            </w:pPr>
            <w:bookmarkStart w:id="101" w:name="_Toc62666630"/>
            <w:bookmarkStart w:id="102" w:name="_Toc198658674"/>
            <w:r w:rsidRPr="00FF56C8">
              <w:rPr>
                <w:rFonts w:eastAsia="Times New Roman"/>
                <w:lang w:val="es-ES"/>
              </w:rPr>
              <w:t>Tributos y gastos</w:t>
            </w:r>
            <w:bookmarkEnd w:id="101"/>
            <w:bookmarkEnd w:id="102"/>
          </w:p>
        </w:tc>
        <w:tc>
          <w:tcPr>
            <w:tcW w:w="2500" w:type="pct"/>
          </w:tcPr>
          <w:p w14:paraId="14A976E5" w14:textId="77777777" w:rsidR="00465335" w:rsidRPr="00FF56C8" w:rsidRDefault="00465335" w:rsidP="00465335">
            <w:pPr>
              <w:pStyle w:val="AOGenNum1"/>
              <w:keepNext w:val="0"/>
              <w:widowControl w:val="0"/>
              <w:rPr>
                <w:rFonts w:eastAsia="Times New Roman"/>
                <w:lang w:val="es-ES"/>
              </w:rPr>
            </w:pPr>
            <w:bookmarkStart w:id="103" w:name="_Toc460868956"/>
            <w:bookmarkStart w:id="104" w:name="_Toc198658703"/>
            <w:r w:rsidRPr="00FF56C8">
              <w:rPr>
                <w:rFonts w:eastAsia="Times New Roman"/>
                <w:lang w:val="es-ES"/>
              </w:rPr>
              <w:t>Taxes and expenses</w:t>
            </w:r>
            <w:bookmarkEnd w:id="103"/>
            <w:bookmarkEnd w:id="104"/>
          </w:p>
        </w:tc>
      </w:tr>
      <w:tr w:rsidR="00465335" w14:paraId="32393F5B" w14:textId="77777777" w:rsidTr="00F47A3C">
        <w:trPr>
          <w:trHeight w:val="81"/>
          <w:jc w:val="center"/>
        </w:trPr>
        <w:tc>
          <w:tcPr>
            <w:tcW w:w="2500" w:type="pct"/>
          </w:tcPr>
          <w:p w14:paraId="56ADB865" w14:textId="1DB58184" w:rsidR="00465335" w:rsidRPr="00E53971" w:rsidRDefault="00465335" w:rsidP="00465335">
            <w:pPr>
              <w:pStyle w:val="AOAltHead2"/>
              <w:rPr>
                <w:lang w:val="es-ES"/>
              </w:rPr>
            </w:pPr>
            <w:r>
              <w:rPr>
                <w:lang w:val="es-ES"/>
              </w:rPr>
              <w:t xml:space="preserve">Serán por cuenta de los </w:t>
            </w:r>
            <w:proofErr w:type="spellStart"/>
            <w:r>
              <w:rPr>
                <w:lang w:val="es-ES"/>
              </w:rPr>
              <w:t>Pignorantes</w:t>
            </w:r>
            <w:proofErr w:type="spellEnd"/>
            <w:r w:rsidRPr="00E53971">
              <w:rPr>
                <w:lang w:val="es-ES"/>
              </w:rPr>
              <w:t xml:space="preserve">, o cualquier sociedad de su grupo de conformidad con lo establecido en </w:t>
            </w:r>
            <w:r>
              <w:rPr>
                <w:lang w:val="es-ES"/>
              </w:rPr>
              <w:t>los Documentos Garantizados</w:t>
            </w:r>
            <w:r w:rsidRPr="00E53971">
              <w:rPr>
                <w:lang w:val="es-ES"/>
              </w:rPr>
              <w:t xml:space="preserve"> cuantos tributos, tasas, gravámenes, aranceles, timbres, corretajes y gastos, de la naturaleza que sean, incluidos los honorarios de</w:t>
            </w:r>
            <w:r>
              <w:rPr>
                <w:lang w:val="es-ES"/>
              </w:rPr>
              <w:t xml:space="preserve"> </w:t>
            </w:r>
            <w:r w:rsidRPr="00E53971">
              <w:rPr>
                <w:lang w:val="es-ES"/>
              </w:rPr>
              <w:t>l</w:t>
            </w:r>
            <w:r>
              <w:rPr>
                <w:lang w:val="es-ES"/>
              </w:rPr>
              <w:t>a</w:t>
            </w:r>
            <w:r w:rsidRPr="00E53971">
              <w:rPr>
                <w:lang w:val="es-ES"/>
              </w:rPr>
              <w:t xml:space="preserve"> Notario </w:t>
            </w:r>
            <w:r>
              <w:rPr>
                <w:lang w:val="es-ES"/>
              </w:rPr>
              <w:t>ante el que se interviene la presente Póliza</w:t>
            </w:r>
            <w:r w:rsidRPr="00E53971">
              <w:rPr>
                <w:lang w:val="es-ES"/>
              </w:rPr>
              <w:t xml:space="preserve">, se originen, ahora o en el futuro, por causa de la constitución (incluyendo cualquier contrato, escritura o póliza de corrección, </w:t>
            </w:r>
            <w:r>
              <w:rPr>
                <w:lang w:val="es-ES"/>
              </w:rPr>
              <w:lastRenderedPageBreak/>
              <w:t xml:space="preserve">subsanación, </w:t>
            </w:r>
            <w:r w:rsidRPr="00E53971">
              <w:rPr>
                <w:lang w:val="es-ES"/>
              </w:rPr>
              <w:t xml:space="preserve">clarificación, rectificación, ratificación, modificación o contrato, escritura o póliza suplementaria), perfección, extensión, cancelación y ejecución de </w:t>
            </w:r>
            <w:r>
              <w:rPr>
                <w:lang w:val="es-ES"/>
              </w:rPr>
              <w:t>las Prendas</w:t>
            </w:r>
            <w:r w:rsidRPr="00E53971">
              <w:rPr>
                <w:lang w:val="es-ES"/>
              </w:rPr>
              <w:t>, así como</w:t>
            </w:r>
            <w:r>
              <w:rPr>
                <w:lang w:val="es-ES"/>
              </w:rPr>
              <w:t xml:space="preserve"> los </w:t>
            </w:r>
            <w:r w:rsidRPr="00E53971">
              <w:rPr>
                <w:lang w:val="es-ES"/>
              </w:rPr>
              <w:t xml:space="preserve">que se originen en el ejercicio de las facultades conferidas en virtud </w:t>
            </w:r>
            <w:r>
              <w:rPr>
                <w:lang w:val="es-ES"/>
              </w:rPr>
              <w:t>de los Poderes Irrevocables</w:t>
            </w:r>
            <w:r w:rsidRPr="00E53971">
              <w:rPr>
                <w:lang w:val="es-ES"/>
              </w:rPr>
              <w:t xml:space="preserve"> otorgado</w:t>
            </w:r>
            <w:r>
              <w:rPr>
                <w:lang w:val="es-ES"/>
              </w:rPr>
              <w:t>s</w:t>
            </w:r>
            <w:r w:rsidRPr="00E53971">
              <w:rPr>
                <w:lang w:val="es-ES"/>
              </w:rPr>
              <w:t xml:space="preserve"> de conformidad con la Cláusula </w:t>
            </w:r>
            <w:r>
              <w:rPr>
                <w:rFonts w:eastAsia="Times New Roman"/>
                <w:lang w:val="es"/>
              </w:rPr>
              <w:t>12 y 17 de las Prendas, respectivamente</w:t>
            </w:r>
            <w:r w:rsidRPr="00E53971">
              <w:rPr>
                <w:lang w:val="es-ES"/>
              </w:rPr>
              <w:t xml:space="preserve">. </w:t>
            </w:r>
          </w:p>
        </w:tc>
        <w:tc>
          <w:tcPr>
            <w:tcW w:w="2500" w:type="pct"/>
          </w:tcPr>
          <w:p w14:paraId="6187CFBC" w14:textId="77777777" w:rsidR="00465335" w:rsidRPr="00E145CE" w:rsidRDefault="00465335" w:rsidP="00465335">
            <w:pPr>
              <w:pStyle w:val="AOGenNum1Para"/>
              <w:rPr>
                <w:b w:val="0"/>
              </w:rPr>
            </w:pPr>
            <w:r w:rsidRPr="00E145CE">
              <w:rPr>
                <w:b w:val="0"/>
              </w:rPr>
              <w:lastRenderedPageBreak/>
              <w:t xml:space="preserve">All taxes, duties, burdens, levies, brokerage fees and expenses, of whatever nature, including the fees of the Notary before whom this </w:t>
            </w:r>
            <w:r>
              <w:rPr>
                <w:b w:val="0"/>
              </w:rPr>
              <w:t>Deed</w:t>
            </w:r>
            <w:r w:rsidRPr="00E145CE">
              <w:rPr>
                <w:b w:val="0"/>
              </w:rPr>
              <w:t xml:space="preserve"> is </w:t>
            </w:r>
            <w:r>
              <w:rPr>
                <w:b w:val="0"/>
              </w:rPr>
              <w:t>attested</w:t>
            </w:r>
            <w:r w:rsidRPr="00E145CE">
              <w:rPr>
                <w:b w:val="0"/>
              </w:rPr>
              <w:t xml:space="preserve">, which arise now or in the future from the creation (including any agreement, public deed or deed of correction, clarification, amendment, ratification or supplemental agreement, public deed or deed), execution, extension, cancellation and enforcement of the </w:t>
            </w:r>
            <w:r>
              <w:rPr>
                <w:rFonts w:eastAsia="Times New Roman"/>
                <w:b w:val="0"/>
              </w:rPr>
              <w:t>Pledges</w:t>
            </w:r>
            <w:r w:rsidRPr="00E145CE">
              <w:rPr>
                <w:b w:val="0"/>
              </w:rPr>
              <w:t xml:space="preserve"> shall be for the account of the Pledgor</w:t>
            </w:r>
            <w:r>
              <w:rPr>
                <w:b w:val="0"/>
              </w:rPr>
              <w:t>s</w:t>
            </w:r>
            <w:r w:rsidRPr="00E145CE">
              <w:rPr>
                <w:b w:val="0"/>
              </w:rPr>
              <w:t xml:space="preserve"> or </w:t>
            </w:r>
            <w:r w:rsidRPr="00E145CE">
              <w:rPr>
                <w:b w:val="0"/>
              </w:rPr>
              <w:lastRenderedPageBreak/>
              <w:t>any subsidiary of its group of companies, in accordance with the Secured Documents as well as those arising from the exercise of the powers foreseen in the Irrevocable Power</w:t>
            </w:r>
            <w:r>
              <w:rPr>
                <w:b w:val="0"/>
              </w:rPr>
              <w:t>s</w:t>
            </w:r>
            <w:r w:rsidRPr="00E145CE">
              <w:rPr>
                <w:b w:val="0"/>
              </w:rPr>
              <w:t xml:space="preserve"> of Attorney granted in accordance with Clause </w:t>
            </w:r>
            <w:r w:rsidRPr="001A3272">
              <w:rPr>
                <w:rFonts w:eastAsia="Times New Roman"/>
                <w:b w:val="0"/>
              </w:rPr>
              <w:t>12</w:t>
            </w:r>
            <w:r>
              <w:rPr>
                <w:rFonts w:eastAsia="Times New Roman"/>
                <w:b w:val="0"/>
              </w:rPr>
              <w:t xml:space="preserve"> and 17</w:t>
            </w:r>
            <w:r w:rsidRPr="00245D63">
              <w:rPr>
                <w:rFonts w:eastAsia="Times New Roman"/>
              </w:rPr>
              <w:t xml:space="preserve"> </w:t>
            </w:r>
            <w:r w:rsidRPr="00245D63">
              <w:rPr>
                <w:rFonts w:eastAsia="Times New Roman"/>
                <w:b w:val="0"/>
              </w:rPr>
              <w:t xml:space="preserve">of the </w:t>
            </w:r>
            <w:r>
              <w:rPr>
                <w:rFonts w:eastAsia="Times New Roman"/>
                <w:b w:val="0"/>
              </w:rPr>
              <w:t>Pledges, respectively</w:t>
            </w:r>
            <w:r w:rsidRPr="00245D63">
              <w:rPr>
                <w:b w:val="0"/>
              </w:rPr>
              <w:t>.</w:t>
            </w:r>
          </w:p>
        </w:tc>
      </w:tr>
      <w:tr w:rsidR="00465335" w14:paraId="5385B21D" w14:textId="77777777" w:rsidTr="00F47A3C">
        <w:trPr>
          <w:trHeight w:val="81"/>
          <w:jc w:val="center"/>
        </w:trPr>
        <w:tc>
          <w:tcPr>
            <w:tcW w:w="2500" w:type="pct"/>
          </w:tcPr>
          <w:p w14:paraId="59405AA7" w14:textId="77777777" w:rsidR="00465335" w:rsidRPr="00E53971" w:rsidRDefault="00465335" w:rsidP="00465335">
            <w:pPr>
              <w:pStyle w:val="AOAltHead2"/>
              <w:rPr>
                <w:lang w:val="es-ES"/>
              </w:rPr>
            </w:pPr>
            <w:r w:rsidRPr="00E53971">
              <w:rPr>
                <w:lang w:val="es-ES"/>
              </w:rPr>
              <w:lastRenderedPageBreak/>
              <w:t xml:space="preserve">En el caso de que </w:t>
            </w:r>
            <w:r>
              <w:rPr>
                <w:lang w:val="es-ES"/>
              </w:rPr>
              <w:t xml:space="preserve">los </w:t>
            </w:r>
            <w:proofErr w:type="spellStart"/>
            <w:r>
              <w:rPr>
                <w:lang w:val="es-ES"/>
              </w:rPr>
              <w:t>Pignorantes</w:t>
            </w:r>
            <w:proofErr w:type="spellEnd"/>
            <w:r>
              <w:rPr>
                <w:lang w:val="es-ES"/>
              </w:rPr>
              <w:t xml:space="preserve"> no paguen</w:t>
            </w:r>
            <w:r w:rsidRPr="00E53971">
              <w:rPr>
                <w:lang w:val="es-ES"/>
              </w:rPr>
              <w:t xml:space="preserve"> dichos gastos,</w:t>
            </w:r>
            <w:r w:rsidRPr="00E53971">
              <w:rPr>
                <w:i/>
                <w:lang w:val="es-ES"/>
              </w:rPr>
              <w:t xml:space="preserve"> </w:t>
            </w:r>
            <w:r w:rsidRPr="00E53971">
              <w:rPr>
                <w:lang w:val="es-ES"/>
              </w:rPr>
              <w:t>las Partes Garantizadas (a través del Agente de Garantías) tendrán</w:t>
            </w:r>
            <w:r>
              <w:rPr>
                <w:lang w:val="es-ES"/>
              </w:rPr>
              <w:t xml:space="preserve"> derecho a pagarlos en nombre de los </w:t>
            </w:r>
            <w:proofErr w:type="spellStart"/>
            <w:r>
              <w:rPr>
                <w:lang w:val="es-ES"/>
              </w:rPr>
              <w:t>Pignorantes</w:t>
            </w:r>
            <w:proofErr w:type="spellEnd"/>
            <w:r w:rsidRPr="00E53971">
              <w:rPr>
                <w:lang w:val="es-ES"/>
              </w:rPr>
              <w:t xml:space="preserve"> y a reclamarle</w:t>
            </w:r>
            <w:r>
              <w:rPr>
                <w:lang w:val="es-ES"/>
              </w:rPr>
              <w:t>s</w:t>
            </w:r>
            <w:r w:rsidRPr="00E53971">
              <w:rPr>
                <w:lang w:val="es-ES"/>
              </w:rPr>
              <w:t xml:space="preserve"> el pago </w:t>
            </w:r>
            <w:proofErr w:type="gramStart"/>
            <w:r w:rsidRPr="00E53971">
              <w:rPr>
                <w:lang w:val="es-ES"/>
              </w:rPr>
              <w:t>posteriormente</w:t>
            </w:r>
            <w:proofErr w:type="gramEnd"/>
            <w:r w:rsidRPr="00E53971">
              <w:rPr>
                <w:lang w:val="es-ES"/>
              </w:rPr>
              <w:t xml:space="preserve">, quedando </w:t>
            </w:r>
            <w:proofErr w:type="gramStart"/>
            <w:r w:rsidRPr="00E53971">
              <w:rPr>
                <w:lang w:val="es-ES"/>
              </w:rPr>
              <w:t>igualmente</w:t>
            </w:r>
            <w:proofErr w:type="gramEnd"/>
            <w:r w:rsidRPr="00E53971">
              <w:rPr>
                <w:lang w:val="es-ES"/>
              </w:rPr>
              <w:t xml:space="preserve"> cubierta esta obligación por </w:t>
            </w:r>
            <w:r>
              <w:rPr>
                <w:lang w:val="es-ES"/>
              </w:rPr>
              <w:t>las</w:t>
            </w:r>
            <w:r w:rsidRPr="00E53971">
              <w:rPr>
                <w:lang w:val="es-ES"/>
              </w:rPr>
              <w:t xml:space="preserve"> Prenda</w:t>
            </w:r>
            <w:r>
              <w:rPr>
                <w:lang w:val="es-ES"/>
              </w:rPr>
              <w:t>s</w:t>
            </w:r>
            <w:r w:rsidRPr="00E53971">
              <w:rPr>
                <w:lang w:val="es-ES"/>
              </w:rPr>
              <w:t>.</w:t>
            </w:r>
          </w:p>
        </w:tc>
        <w:tc>
          <w:tcPr>
            <w:tcW w:w="2500" w:type="pct"/>
          </w:tcPr>
          <w:p w14:paraId="14E29548" w14:textId="77777777" w:rsidR="00465335" w:rsidRPr="00E145CE" w:rsidRDefault="00465335" w:rsidP="00465335">
            <w:pPr>
              <w:pStyle w:val="AOGenNum1Para"/>
              <w:rPr>
                <w:b w:val="0"/>
              </w:rPr>
            </w:pPr>
            <w:proofErr w:type="gramStart"/>
            <w:r w:rsidRPr="00E145CE">
              <w:rPr>
                <w:b w:val="0"/>
              </w:rPr>
              <w:t>In the event that</w:t>
            </w:r>
            <w:proofErr w:type="gramEnd"/>
            <w:r w:rsidRPr="00E145CE">
              <w:rPr>
                <w:b w:val="0"/>
              </w:rPr>
              <w:t xml:space="preserve"> </w:t>
            </w:r>
            <w:r>
              <w:rPr>
                <w:b w:val="0"/>
              </w:rPr>
              <w:t>the Pledgors do</w:t>
            </w:r>
            <w:r w:rsidRPr="00E145CE">
              <w:rPr>
                <w:b w:val="0"/>
              </w:rPr>
              <w:t xml:space="preserve"> not pay such expenses, the Secured Parties (through the Security Trustee) shall be entitled to pay the same on behalf of </w:t>
            </w:r>
            <w:r>
              <w:rPr>
                <w:b w:val="0"/>
              </w:rPr>
              <w:t>the Pledgors</w:t>
            </w:r>
            <w:r w:rsidRPr="00E145CE">
              <w:rPr>
                <w:b w:val="0"/>
              </w:rPr>
              <w:t xml:space="preserve"> and claim subsequent payment from it. Th</w:t>
            </w:r>
            <w:r>
              <w:rPr>
                <w:b w:val="0"/>
              </w:rPr>
              <w:t>e Secured Obligations under these</w:t>
            </w:r>
            <w:r w:rsidRPr="00E145CE">
              <w:rPr>
                <w:b w:val="0"/>
              </w:rPr>
              <w:t xml:space="preserve"> Pledge</w:t>
            </w:r>
            <w:r>
              <w:rPr>
                <w:b w:val="0"/>
              </w:rPr>
              <w:t>s</w:t>
            </w:r>
            <w:r w:rsidRPr="00E145CE">
              <w:rPr>
                <w:b w:val="0"/>
              </w:rPr>
              <w:t xml:space="preserve"> shall also cover that obligation.</w:t>
            </w:r>
          </w:p>
        </w:tc>
      </w:tr>
      <w:tr w:rsidR="00465335" w14:paraId="0CBF597D" w14:textId="77777777" w:rsidTr="00F47A3C">
        <w:trPr>
          <w:trHeight w:val="81"/>
          <w:jc w:val="center"/>
        </w:trPr>
        <w:tc>
          <w:tcPr>
            <w:tcW w:w="2500" w:type="pct"/>
          </w:tcPr>
          <w:p w14:paraId="4B0EDCE6" w14:textId="77777777" w:rsidR="00465335" w:rsidRPr="00E53971" w:rsidRDefault="00465335" w:rsidP="00465335">
            <w:pPr>
              <w:pStyle w:val="AOAltHead2"/>
              <w:rPr>
                <w:lang w:val="es-ES"/>
              </w:rPr>
            </w:pPr>
            <w:r w:rsidRPr="00E53971">
              <w:rPr>
                <w:lang w:val="es-ES"/>
              </w:rPr>
              <w:t xml:space="preserve">Cualquier cantidad debida al Agente de Garantías o a cualquiera de las Partes Garantizadas </w:t>
            </w:r>
            <w:r>
              <w:rPr>
                <w:lang w:val="es-ES"/>
              </w:rPr>
              <w:t xml:space="preserve">de conformidad con </w:t>
            </w:r>
            <w:r w:rsidRPr="00E53971">
              <w:rPr>
                <w:lang w:val="es-ES"/>
              </w:rPr>
              <w:t xml:space="preserve">el párrafo anterior que no tenga una fecha de pago concreta </w:t>
            </w:r>
            <w:r>
              <w:rPr>
                <w:lang w:val="es-ES"/>
              </w:rPr>
              <w:t>de conformidad con lo establecido en</w:t>
            </w:r>
            <w:r w:rsidRPr="00E53971">
              <w:rPr>
                <w:lang w:val="es-ES"/>
              </w:rPr>
              <w:t xml:space="preserve"> </w:t>
            </w:r>
            <w:r>
              <w:rPr>
                <w:lang w:val="es-ES"/>
              </w:rPr>
              <w:t>los Documentos Garantizados</w:t>
            </w:r>
            <w:r w:rsidRPr="00E53971">
              <w:rPr>
                <w:lang w:val="es-ES"/>
              </w:rPr>
              <w:t>, de</w:t>
            </w:r>
            <w:r>
              <w:rPr>
                <w:lang w:val="es-ES"/>
              </w:rPr>
              <w:t>berá abonarse dentro de los cinco (5</w:t>
            </w:r>
            <w:r w:rsidRPr="00E53971">
              <w:rPr>
                <w:lang w:val="es-ES"/>
              </w:rPr>
              <w:t xml:space="preserve">) días naturales siguientes a la recepción por </w:t>
            </w:r>
            <w:r>
              <w:rPr>
                <w:lang w:val="es-ES"/>
              </w:rPr>
              <w:t>Beacon</w:t>
            </w:r>
            <w:r w:rsidRPr="00E53971">
              <w:rPr>
                <w:lang w:val="es-ES"/>
              </w:rPr>
              <w:t xml:space="preserve"> del correspondiente requerimiento de pago.</w:t>
            </w:r>
          </w:p>
        </w:tc>
        <w:tc>
          <w:tcPr>
            <w:tcW w:w="2500" w:type="pct"/>
          </w:tcPr>
          <w:p w14:paraId="143D3FA5" w14:textId="77777777" w:rsidR="00465335" w:rsidRPr="00E145CE" w:rsidRDefault="00465335" w:rsidP="00465335">
            <w:pPr>
              <w:pStyle w:val="AOGenNum1Para"/>
              <w:rPr>
                <w:b w:val="0"/>
              </w:rPr>
            </w:pPr>
            <w:r w:rsidRPr="00E145CE">
              <w:rPr>
                <w:b w:val="0"/>
              </w:rPr>
              <w:t xml:space="preserve">Any amount owed to the Security Trustee or any of the Secured Parties according to the foregoing paragraph which does not have a specific due date by virtue of the Secured Documents shall be paid within </w:t>
            </w:r>
            <w:r>
              <w:rPr>
                <w:b w:val="0"/>
              </w:rPr>
              <w:t>five (5</w:t>
            </w:r>
            <w:r w:rsidRPr="00E145CE">
              <w:rPr>
                <w:b w:val="0"/>
              </w:rPr>
              <w:t xml:space="preserve">) calendar days following receipt by the </w:t>
            </w:r>
            <w:r>
              <w:rPr>
                <w:b w:val="0"/>
              </w:rPr>
              <w:t>Beacon</w:t>
            </w:r>
            <w:r w:rsidRPr="00E145CE">
              <w:rPr>
                <w:b w:val="0"/>
              </w:rPr>
              <w:t xml:space="preserve"> of the corresponding demand for payment.</w:t>
            </w:r>
          </w:p>
        </w:tc>
      </w:tr>
      <w:tr w:rsidR="00465335" w14:paraId="68004E39" w14:textId="77777777" w:rsidTr="00F47A3C">
        <w:trPr>
          <w:trHeight w:val="81"/>
          <w:jc w:val="center"/>
        </w:trPr>
        <w:tc>
          <w:tcPr>
            <w:tcW w:w="2500" w:type="pct"/>
          </w:tcPr>
          <w:p w14:paraId="23D8BAE6" w14:textId="77777777" w:rsidR="00465335" w:rsidRDefault="00465335" w:rsidP="00465335">
            <w:pPr>
              <w:pStyle w:val="AOHead1"/>
              <w:keepNext w:val="0"/>
              <w:widowControl w:val="0"/>
            </w:pPr>
            <w:bookmarkStart w:id="105" w:name="_Ref518916338"/>
            <w:bookmarkStart w:id="106" w:name="_Toc62666631"/>
            <w:bookmarkStart w:id="107" w:name="_Toc198658675"/>
            <w:r>
              <w:t>Notificaciones</w:t>
            </w:r>
            <w:bookmarkEnd w:id="105"/>
            <w:bookmarkEnd w:id="106"/>
            <w:bookmarkEnd w:id="107"/>
          </w:p>
        </w:tc>
        <w:tc>
          <w:tcPr>
            <w:tcW w:w="2500" w:type="pct"/>
          </w:tcPr>
          <w:p w14:paraId="4C86BCA8" w14:textId="77777777" w:rsidR="00465335" w:rsidRDefault="00465335" w:rsidP="00465335">
            <w:pPr>
              <w:pStyle w:val="AOGenNum1"/>
              <w:keepNext w:val="0"/>
              <w:widowControl w:val="0"/>
            </w:pPr>
            <w:bookmarkStart w:id="108" w:name="_Ref518916344"/>
            <w:bookmarkStart w:id="109" w:name="_Toc198658704"/>
            <w:r>
              <w:t>Notices</w:t>
            </w:r>
            <w:bookmarkEnd w:id="108"/>
            <w:bookmarkEnd w:id="109"/>
          </w:p>
        </w:tc>
      </w:tr>
      <w:tr w:rsidR="00465335" w14:paraId="143EA576" w14:textId="77777777" w:rsidTr="00F47A3C">
        <w:trPr>
          <w:trHeight w:val="81"/>
          <w:jc w:val="center"/>
        </w:trPr>
        <w:tc>
          <w:tcPr>
            <w:tcW w:w="2500" w:type="pct"/>
          </w:tcPr>
          <w:p w14:paraId="6EC5CEB3" w14:textId="77777777" w:rsidR="00465335" w:rsidRPr="002320D8" w:rsidRDefault="00465335" w:rsidP="00465335">
            <w:pPr>
              <w:pStyle w:val="AOAltHead2"/>
              <w:widowControl w:val="0"/>
              <w:rPr>
                <w:lang w:val="es"/>
              </w:rPr>
            </w:pPr>
            <w:r w:rsidRPr="002320D8">
              <w:rPr>
                <w:lang w:val="es"/>
              </w:rPr>
              <w:t xml:space="preserve">Las Partes efectuarán todas las notificaciones y comunicaciones relativas a la presente Póliza de conformidad con lo previsto </w:t>
            </w:r>
            <w:r w:rsidRPr="002320D8">
              <w:rPr>
                <w:rFonts w:eastAsia="Times New Roman"/>
                <w:lang w:val="es"/>
              </w:rPr>
              <w:t xml:space="preserve">en </w:t>
            </w:r>
            <w:r>
              <w:rPr>
                <w:rFonts w:eastAsia="Times New Roman"/>
                <w:lang w:val="es"/>
              </w:rPr>
              <w:t>los</w:t>
            </w:r>
            <w:r w:rsidRPr="002320D8">
              <w:rPr>
                <w:rFonts w:eastAsia="Times New Roman"/>
                <w:lang w:val="es"/>
              </w:rPr>
              <w:t xml:space="preserve"> </w:t>
            </w:r>
            <w:r>
              <w:rPr>
                <w:rFonts w:eastAsia="Times New Roman"/>
                <w:lang w:val="es"/>
              </w:rPr>
              <w:t>Documentos Garantizados</w:t>
            </w:r>
            <w:r w:rsidRPr="002320D8">
              <w:rPr>
                <w:lang w:val="es"/>
              </w:rPr>
              <w:t>.</w:t>
            </w:r>
          </w:p>
        </w:tc>
        <w:tc>
          <w:tcPr>
            <w:tcW w:w="2500" w:type="pct"/>
          </w:tcPr>
          <w:p w14:paraId="35979BBE" w14:textId="77777777" w:rsidR="00465335" w:rsidRPr="002320D8" w:rsidRDefault="00465335" w:rsidP="00465335">
            <w:pPr>
              <w:pStyle w:val="AOGenNum1Para"/>
              <w:keepNext w:val="0"/>
              <w:widowControl w:val="0"/>
              <w:rPr>
                <w:b w:val="0"/>
              </w:rPr>
            </w:pPr>
            <w:r w:rsidRPr="002320D8">
              <w:rPr>
                <w:b w:val="0"/>
              </w:rPr>
              <w:t xml:space="preserve">The Parties shall give all notices and make all communications relating to this Deed in accordance with the provisions of the </w:t>
            </w:r>
            <w:r>
              <w:rPr>
                <w:b w:val="0"/>
              </w:rPr>
              <w:t>Secured Documents</w:t>
            </w:r>
            <w:r w:rsidRPr="002320D8">
              <w:rPr>
                <w:b w:val="0"/>
              </w:rPr>
              <w:t>.</w:t>
            </w:r>
          </w:p>
        </w:tc>
      </w:tr>
      <w:tr w:rsidR="00465335" w14:paraId="0D5116A7" w14:textId="77777777" w:rsidTr="00F47A3C">
        <w:trPr>
          <w:trHeight w:val="81"/>
          <w:jc w:val="center"/>
        </w:trPr>
        <w:tc>
          <w:tcPr>
            <w:tcW w:w="2500" w:type="pct"/>
          </w:tcPr>
          <w:p w14:paraId="425E66C0" w14:textId="77777777" w:rsidR="00465335" w:rsidRDefault="00465335" w:rsidP="00465335">
            <w:pPr>
              <w:pStyle w:val="AOAltHead2"/>
              <w:widowControl w:val="0"/>
              <w:numPr>
                <w:ilvl w:val="1"/>
                <w:numId w:val="25"/>
              </w:numPr>
              <w:rPr>
                <w:lang w:val="es-ES"/>
              </w:rPr>
            </w:pPr>
            <w:r>
              <w:rPr>
                <w:lang w:val="es-ES"/>
              </w:rPr>
              <w:t xml:space="preserve">El domicilio de cada una de las partes intervinientes a efectos de notificaciones bajo las Prendas y la presente Póliza será el siguiente: </w:t>
            </w:r>
          </w:p>
        </w:tc>
        <w:tc>
          <w:tcPr>
            <w:tcW w:w="2500" w:type="pct"/>
          </w:tcPr>
          <w:p w14:paraId="3A98A725" w14:textId="77777777" w:rsidR="00465335" w:rsidRDefault="00465335" w:rsidP="00465335">
            <w:pPr>
              <w:pStyle w:val="AOGenNum1Para"/>
              <w:keepNext w:val="0"/>
              <w:widowControl w:val="0"/>
              <w:numPr>
                <w:ilvl w:val="1"/>
                <w:numId w:val="26"/>
              </w:numPr>
              <w:rPr>
                <w:b w:val="0"/>
              </w:rPr>
            </w:pPr>
            <w:r>
              <w:rPr>
                <w:b w:val="0"/>
              </w:rPr>
              <w:t xml:space="preserve">The address of each of the intervening parties for notification purposes under the Pledge and these Deeds is the following one: </w:t>
            </w:r>
          </w:p>
        </w:tc>
      </w:tr>
      <w:tr w:rsidR="00465335" w14:paraId="51296E64" w14:textId="77777777" w:rsidTr="00F47A3C">
        <w:trPr>
          <w:trHeight w:val="311"/>
          <w:jc w:val="center"/>
        </w:trPr>
        <w:tc>
          <w:tcPr>
            <w:tcW w:w="2500" w:type="pct"/>
          </w:tcPr>
          <w:p w14:paraId="7ADEC0D5" w14:textId="436CAA48" w:rsidR="00465335" w:rsidRPr="005465BE" w:rsidRDefault="00465335" w:rsidP="00465335">
            <w:pPr>
              <w:pStyle w:val="AODocTxtL1"/>
              <w:widowControl w:val="0"/>
              <w:rPr>
                <w:b/>
                <w:lang w:val="es-ES"/>
              </w:rPr>
            </w:pPr>
            <w:r w:rsidRPr="005465BE">
              <w:rPr>
                <w:b/>
                <w:lang w:val="es-ES"/>
              </w:rPr>
              <w:t xml:space="preserve">Para los </w:t>
            </w:r>
            <w:proofErr w:type="spellStart"/>
            <w:r w:rsidRPr="005465BE">
              <w:rPr>
                <w:b/>
                <w:bCs/>
                <w:lang w:val="es-ES"/>
              </w:rPr>
              <w:t>Pignorantes</w:t>
            </w:r>
            <w:proofErr w:type="spellEnd"/>
            <w:r w:rsidRPr="005465BE">
              <w:rPr>
                <w:b/>
                <w:bCs/>
                <w:lang w:val="es-ES"/>
              </w:rPr>
              <w:t xml:space="preserve"> y la Sociedad </w:t>
            </w:r>
          </w:p>
        </w:tc>
        <w:tc>
          <w:tcPr>
            <w:tcW w:w="2500" w:type="pct"/>
          </w:tcPr>
          <w:p w14:paraId="4E98A61C" w14:textId="4819A2BC" w:rsidR="00465335" w:rsidRPr="00D53660" w:rsidRDefault="00465335" w:rsidP="00465335">
            <w:pPr>
              <w:pStyle w:val="AODocTxtL1"/>
              <w:widowControl w:val="0"/>
            </w:pPr>
            <w:r w:rsidRPr="00D53660">
              <w:rPr>
                <w:b/>
              </w:rPr>
              <w:t xml:space="preserve">For </w:t>
            </w:r>
            <w:r w:rsidRPr="00D53660">
              <w:rPr>
                <w:b/>
                <w:bCs/>
              </w:rPr>
              <w:t>the</w:t>
            </w:r>
            <w:r w:rsidRPr="00D53660">
              <w:rPr>
                <w:b/>
              </w:rPr>
              <w:t xml:space="preserve"> Pledgor</w:t>
            </w:r>
            <w:r>
              <w:rPr>
                <w:b/>
              </w:rPr>
              <w:t>s and the Company</w:t>
            </w:r>
          </w:p>
        </w:tc>
      </w:tr>
      <w:tr w:rsidR="00465335" w:rsidRPr="00A4106E" w14:paraId="0FDC8CD1" w14:textId="77777777" w:rsidTr="00F47A3C">
        <w:trPr>
          <w:trHeight w:val="304"/>
          <w:jc w:val="center"/>
        </w:trPr>
        <w:tc>
          <w:tcPr>
            <w:tcW w:w="2500" w:type="pct"/>
          </w:tcPr>
          <w:p w14:paraId="3D7CD396" w14:textId="77777777" w:rsidR="00465335" w:rsidRPr="00415668" w:rsidRDefault="00465335" w:rsidP="00465335">
            <w:pPr>
              <w:pStyle w:val="AODocTxtL1"/>
              <w:widowControl w:val="0"/>
              <w:rPr>
                <w:rFonts w:eastAsia="Times New Roman"/>
                <w:b/>
                <w:lang w:val="fr-FR"/>
              </w:rPr>
            </w:pPr>
            <w:r w:rsidRPr="00415668">
              <w:rPr>
                <w:rFonts w:eastAsia="Times New Roman"/>
                <w:b/>
                <w:lang w:val="fr-FR"/>
              </w:rPr>
              <w:t xml:space="preserve">BEACON RAIL FINANCE S.À R.L. </w:t>
            </w:r>
          </w:p>
        </w:tc>
        <w:tc>
          <w:tcPr>
            <w:tcW w:w="2500" w:type="pct"/>
          </w:tcPr>
          <w:p w14:paraId="78CDF27D" w14:textId="77777777" w:rsidR="00465335" w:rsidRPr="00415668" w:rsidRDefault="00465335" w:rsidP="00465335">
            <w:pPr>
              <w:pStyle w:val="AODocTxtL1"/>
              <w:widowControl w:val="0"/>
              <w:rPr>
                <w:b/>
                <w:lang w:val="fr-FR"/>
              </w:rPr>
            </w:pPr>
            <w:r w:rsidRPr="00415668">
              <w:rPr>
                <w:rFonts w:eastAsia="Times New Roman"/>
                <w:b/>
                <w:lang w:val="fr-FR"/>
              </w:rPr>
              <w:t xml:space="preserve">BEACON RAIL FINANCE S.À R.L. </w:t>
            </w:r>
          </w:p>
        </w:tc>
      </w:tr>
      <w:tr w:rsidR="00465335" w14:paraId="2460B7BE" w14:textId="77777777" w:rsidTr="00F47A3C">
        <w:trPr>
          <w:trHeight w:val="566"/>
          <w:jc w:val="center"/>
        </w:trPr>
        <w:tc>
          <w:tcPr>
            <w:tcW w:w="2500" w:type="pct"/>
          </w:tcPr>
          <w:p w14:paraId="1B12D484" w14:textId="77777777" w:rsidR="00465335" w:rsidRPr="00415668" w:rsidRDefault="00465335" w:rsidP="00465335">
            <w:pPr>
              <w:pStyle w:val="AODocTxtL1"/>
              <w:widowControl w:val="0"/>
              <w:rPr>
                <w:lang w:val="fr-FR"/>
              </w:rPr>
            </w:pPr>
            <w:proofErr w:type="spellStart"/>
            <w:proofErr w:type="gramStart"/>
            <w:r w:rsidRPr="00415668">
              <w:rPr>
                <w:lang w:val="fr-FR"/>
              </w:rPr>
              <w:t>Dirección</w:t>
            </w:r>
            <w:proofErr w:type="spellEnd"/>
            <w:r w:rsidRPr="00415668">
              <w:rPr>
                <w:lang w:val="fr-FR"/>
              </w:rPr>
              <w:t>:</w:t>
            </w:r>
            <w:proofErr w:type="gramEnd"/>
            <w:r w:rsidRPr="00415668">
              <w:rPr>
                <w:lang w:val="fr-FR"/>
              </w:rPr>
              <w:t xml:space="preserve"> 20, rue Eugène Ruppert L-2453 Luxembourg</w:t>
            </w:r>
          </w:p>
          <w:p w14:paraId="3C6F9456" w14:textId="77777777" w:rsidR="00465335" w:rsidRDefault="00465335" w:rsidP="00465335">
            <w:pPr>
              <w:pStyle w:val="AONormal"/>
              <w:widowControl w:val="0"/>
              <w:ind w:left="720"/>
            </w:pPr>
            <w:proofErr w:type="spellStart"/>
            <w:r w:rsidRPr="00D53660">
              <w:t>Atn</w:t>
            </w:r>
            <w:proofErr w:type="spellEnd"/>
            <w:r w:rsidRPr="00D53660">
              <w:t>: T</w:t>
            </w:r>
            <w:r>
              <w:t>he Managers</w:t>
            </w:r>
          </w:p>
          <w:p w14:paraId="1F9A6C8E" w14:textId="77777777" w:rsidR="00465335" w:rsidRPr="00D53660" w:rsidRDefault="00465335" w:rsidP="00465335">
            <w:pPr>
              <w:pStyle w:val="AONormal"/>
              <w:widowControl w:val="0"/>
              <w:ind w:left="720"/>
              <w:rPr>
                <w:b/>
              </w:rPr>
            </w:pPr>
            <w:r w:rsidRPr="00D53660">
              <w:t xml:space="preserve">Email: </w:t>
            </w:r>
            <w:r>
              <w:t>gfabry@beaconrail.com</w:t>
            </w:r>
          </w:p>
        </w:tc>
        <w:tc>
          <w:tcPr>
            <w:tcW w:w="2500" w:type="pct"/>
          </w:tcPr>
          <w:p w14:paraId="024337BD" w14:textId="77777777" w:rsidR="00465335" w:rsidRPr="00415668" w:rsidRDefault="00465335" w:rsidP="00465335">
            <w:pPr>
              <w:pStyle w:val="AODocTxtL1"/>
              <w:widowControl w:val="0"/>
              <w:rPr>
                <w:lang w:val="fr-FR"/>
              </w:rPr>
            </w:pPr>
            <w:proofErr w:type="spellStart"/>
            <w:proofErr w:type="gramStart"/>
            <w:r w:rsidRPr="00415668">
              <w:rPr>
                <w:rFonts w:eastAsia="Times New Roman"/>
                <w:lang w:val="fr-FR"/>
              </w:rPr>
              <w:t>Address</w:t>
            </w:r>
            <w:proofErr w:type="spellEnd"/>
            <w:r w:rsidRPr="00415668">
              <w:rPr>
                <w:lang w:val="fr-FR"/>
              </w:rPr>
              <w:t>:</w:t>
            </w:r>
            <w:proofErr w:type="gramEnd"/>
            <w:r w:rsidRPr="00415668">
              <w:rPr>
                <w:lang w:val="fr-FR"/>
              </w:rPr>
              <w:t xml:space="preserve"> 20, rue Eugène Ruppert L-2453 Luxembourg</w:t>
            </w:r>
          </w:p>
          <w:p w14:paraId="67BE1151" w14:textId="77777777" w:rsidR="00465335" w:rsidRPr="00D53660" w:rsidRDefault="00465335" w:rsidP="00465335">
            <w:pPr>
              <w:pStyle w:val="AONormal"/>
              <w:widowControl w:val="0"/>
              <w:ind w:left="720"/>
            </w:pPr>
            <w:proofErr w:type="spellStart"/>
            <w:r w:rsidRPr="00D53660">
              <w:t>Att</w:t>
            </w:r>
            <w:proofErr w:type="spellEnd"/>
            <w:r w:rsidRPr="00D53660">
              <w:t>: The Managers</w:t>
            </w:r>
          </w:p>
          <w:p w14:paraId="01AB5175" w14:textId="77777777" w:rsidR="00465335" w:rsidRPr="00D53660" w:rsidRDefault="00465335" w:rsidP="00465335">
            <w:pPr>
              <w:pStyle w:val="AONormal"/>
              <w:widowControl w:val="0"/>
              <w:ind w:left="720"/>
            </w:pPr>
            <w:r w:rsidRPr="00D53660">
              <w:t xml:space="preserve">Email: </w:t>
            </w:r>
            <w:r>
              <w:t>gfabry@beaconrail.com</w:t>
            </w:r>
            <w:r w:rsidRPr="00D53660">
              <w:t xml:space="preserve"> </w:t>
            </w:r>
          </w:p>
        </w:tc>
      </w:tr>
      <w:tr w:rsidR="00465335" w14:paraId="2821D0BF" w14:textId="77777777" w:rsidTr="00F47A3C">
        <w:trPr>
          <w:trHeight w:val="81"/>
          <w:jc w:val="center"/>
        </w:trPr>
        <w:tc>
          <w:tcPr>
            <w:tcW w:w="2500" w:type="pct"/>
          </w:tcPr>
          <w:p w14:paraId="2D75BD62" w14:textId="77777777" w:rsidR="00465335" w:rsidRPr="00D53660" w:rsidRDefault="00465335" w:rsidP="00465335">
            <w:pPr>
              <w:pStyle w:val="AODocTxtL1"/>
              <w:widowControl w:val="0"/>
              <w:rPr>
                <w:rFonts w:ascii="Times New Roman Bold" w:hAnsi="Times New Roman Bold"/>
                <w:b/>
                <w:caps/>
              </w:rPr>
            </w:pPr>
            <w:r w:rsidRPr="00D53660">
              <w:rPr>
                <w:b/>
                <w:lang w:val="es-ES"/>
              </w:rPr>
              <w:t>BEACON RAIL FINANCE IBERIA, S.L.U.</w:t>
            </w:r>
          </w:p>
        </w:tc>
        <w:tc>
          <w:tcPr>
            <w:tcW w:w="2500" w:type="pct"/>
          </w:tcPr>
          <w:p w14:paraId="18EF1C6A" w14:textId="77777777" w:rsidR="00465335" w:rsidRPr="00D53660" w:rsidRDefault="00465335" w:rsidP="00465335">
            <w:pPr>
              <w:pStyle w:val="AODocTxtL1"/>
              <w:widowControl w:val="0"/>
              <w:rPr>
                <w:b/>
              </w:rPr>
            </w:pPr>
            <w:r w:rsidRPr="00D53660">
              <w:rPr>
                <w:b/>
              </w:rPr>
              <w:t>BEACON RAIL FINANCE IBERIA, S.L.U.</w:t>
            </w:r>
          </w:p>
        </w:tc>
      </w:tr>
      <w:tr w:rsidR="00465335" w14:paraId="4951A3F9" w14:textId="77777777" w:rsidTr="00F47A3C">
        <w:trPr>
          <w:trHeight w:val="81"/>
          <w:jc w:val="center"/>
        </w:trPr>
        <w:tc>
          <w:tcPr>
            <w:tcW w:w="2500" w:type="pct"/>
            <w:shd w:val="clear" w:color="auto" w:fill="auto"/>
          </w:tcPr>
          <w:p w14:paraId="3451F8BE" w14:textId="77777777" w:rsidR="00465335" w:rsidRPr="00D53660" w:rsidRDefault="00465335" w:rsidP="00465335">
            <w:pPr>
              <w:pStyle w:val="AODocTxtL1"/>
              <w:widowControl w:val="0"/>
              <w:rPr>
                <w:lang w:val="es-ES"/>
              </w:rPr>
            </w:pPr>
            <w:r w:rsidRPr="00D53660">
              <w:rPr>
                <w:lang w:val="es-ES"/>
              </w:rPr>
              <w:t xml:space="preserve">Dirección: Edificio Feygon-7ºE Paseo de la </w:t>
            </w:r>
            <w:r w:rsidRPr="00D53660">
              <w:rPr>
                <w:lang w:val="es-ES"/>
              </w:rPr>
              <w:lastRenderedPageBreak/>
              <w:t>Castellana 144 28046 Madrid</w:t>
            </w:r>
          </w:p>
          <w:p w14:paraId="47C06432" w14:textId="77777777" w:rsidR="00465335" w:rsidRPr="00D53660" w:rsidRDefault="00465335" w:rsidP="00465335">
            <w:pPr>
              <w:pStyle w:val="AONormal"/>
              <w:widowControl w:val="0"/>
              <w:ind w:left="720"/>
            </w:pPr>
            <w:proofErr w:type="spellStart"/>
            <w:r w:rsidRPr="00D53660">
              <w:t>Atn</w:t>
            </w:r>
            <w:proofErr w:type="spellEnd"/>
            <w:r w:rsidRPr="00D53660">
              <w:t xml:space="preserve">: </w:t>
            </w:r>
            <w:proofErr w:type="gramStart"/>
            <w:r w:rsidRPr="00D53660">
              <w:t>the</w:t>
            </w:r>
            <w:proofErr w:type="gramEnd"/>
            <w:r w:rsidRPr="00D53660">
              <w:t xml:space="preserve"> Directors</w:t>
            </w:r>
          </w:p>
          <w:p w14:paraId="3AD09D78" w14:textId="77777777" w:rsidR="00465335" w:rsidRPr="00D53660" w:rsidRDefault="00465335" w:rsidP="00465335">
            <w:pPr>
              <w:pStyle w:val="AONormal"/>
              <w:widowControl w:val="0"/>
              <w:ind w:left="720"/>
            </w:pPr>
            <w:r w:rsidRPr="00D53660">
              <w:t>Email: cgomezferrer@beacontrail.com</w:t>
            </w:r>
          </w:p>
        </w:tc>
        <w:tc>
          <w:tcPr>
            <w:tcW w:w="2500" w:type="pct"/>
            <w:shd w:val="clear" w:color="auto" w:fill="auto"/>
          </w:tcPr>
          <w:p w14:paraId="7035CD1F" w14:textId="77777777" w:rsidR="00465335" w:rsidRPr="00D53660" w:rsidRDefault="00465335" w:rsidP="00465335">
            <w:pPr>
              <w:pStyle w:val="AODocTxtL1"/>
              <w:widowControl w:val="0"/>
              <w:rPr>
                <w:lang w:val="es-ES"/>
              </w:rPr>
            </w:pPr>
            <w:proofErr w:type="spellStart"/>
            <w:r w:rsidRPr="00D53660">
              <w:rPr>
                <w:rFonts w:eastAsia="Times New Roman"/>
                <w:lang w:val="es-ES"/>
              </w:rPr>
              <w:lastRenderedPageBreak/>
              <w:t>Address</w:t>
            </w:r>
            <w:proofErr w:type="spellEnd"/>
            <w:r w:rsidRPr="00D53660">
              <w:rPr>
                <w:lang w:val="es-ES"/>
              </w:rPr>
              <w:t xml:space="preserve">: Edificio Feygon-7ºE Paseo de la </w:t>
            </w:r>
            <w:r w:rsidRPr="00D53660">
              <w:rPr>
                <w:lang w:val="es-ES"/>
              </w:rPr>
              <w:lastRenderedPageBreak/>
              <w:t xml:space="preserve">Castellana 144 28046 Madrid </w:t>
            </w:r>
          </w:p>
          <w:p w14:paraId="5B0B17DE" w14:textId="77777777" w:rsidR="00465335" w:rsidRPr="00D53660" w:rsidRDefault="00465335" w:rsidP="00465335">
            <w:pPr>
              <w:pStyle w:val="AONormal"/>
              <w:widowControl w:val="0"/>
              <w:ind w:left="720"/>
            </w:pPr>
            <w:proofErr w:type="spellStart"/>
            <w:r w:rsidRPr="00D53660">
              <w:t>Att</w:t>
            </w:r>
            <w:proofErr w:type="spellEnd"/>
            <w:r w:rsidRPr="00D53660">
              <w:t xml:space="preserve">: </w:t>
            </w:r>
            <w:proofErr w:type="gramStart"/>
            <w:r w:rsidRPr="00D53660">
              <w:t>the</w:t>
            </w:r>
            <w:proofErr w:type="gramEnd"/>
            <w:r w:rsidRPr="00D53660">
              <w:t xml:space="preserve"> Directors</w:t>
            </w:r>
          </w:p>
          <w:p w14:paraId="2CA4CCCD" w14:textId="368EAF75" w:rsidR="00465335" w:rsidRPr="00D53660" w:rsidRDefault="00465335" w:rsidP="00465335">
            <w:pPr>
              <w:pStyle w:val="AONormal"/>
              <w:widowControl w:val="0"/>
              <w:ind w:left="720"/>
            </w:pPr>
            <w:r w:rsidRPr="00D53660">
              <w:t>Email: cgomezferrer@beacontrail.com</w:t>
            </w:r>
          </w:p>
        </w:tc>
      </w:tr>
      <w:tr w:rsidR="00465335" w14:paraId="39C0E72E" w14:textId="77777777" w:rsidTr="00F47A3C">
        <w:trPr>
          <w:trHeight w:val="81"/>
          <w:jc w:val="center"/>
        </w:trPr>
        <w:tc>
          <w:tcPr>
            <w:tcW w:w="2500" w:type="pct"/>
          </w:tcPr>
          <w:p w14:paraId="5C0C5694" w14:textId="77777777" w:rsidR="00465335" w:rsidRPr="00D53660" w:rsidRDefault="00465335" w:rsidP="00465335">
            <w:pPr>
              <w:pStyle w:val="AODocTxtL1"/>
              <w:widowControl w:val="0"/>
              <w:rPr>
                <w:b/>
                <w:lang w:val="es-ES"/>
              </w:rPr>
            </w:pPr>
            <w:r w:rsidRPr="00D53660">
              <w:rPr>
                <w:b/>
                <w:lang w:val="es-ES"/>
              </w:rPr>
              <w:lastRenderedPageBreak/>
              <w:t>Para el Agente de Garantías</w:t>
            </w:r>
          </w:p>
        </w:tc>
        <w:tc>
          <w:tcPr>
            <w:tcW w:w="2500" w:type="pct"/>
          </w:tcPr>
          <w:p w14:paraId="606264C6" w14:textId="77777777" w:rsidR="00465335" w:rsidRPr="00D53660" w:rsidRDefault="00465335" w:rsidP="00465335">
            <w:pPr>
              <w:pStyle w:val="AODocTxtL1"/>
              <w:widowControl w:val="0"/>
              <w:rPr>
                <w:b/>
              </w:rPr>
            </w:pPr>
            <w:r w:rsidRPr="00D53660">
              <w:rPr>
                <w:b/>
              </w:rPr>
              <w:t xml:space="preserve">For the Security Agent </w:t>
            </w:r>
          </w:p>
        </w:tc>
      </w:tr>
      <w:tr w:rsidR="00465335" w14:paraId="28CE78BF" w14:textId="77777777" w:rsidTr="00F47A3C">
        <w:trPr>
          <w:trHeight w:val="81"/>
          <w:jc w:val="center"/>
        </w:trPr>
        <w:tc>
          <w:tcPr>
            <w:tcW w:w="2500" w:type="pct"/>
          </w:tcPr>
          <w:p w14:paraId="3871B517" w14:textId="77777777" w:rsidR="00465335" w:rsidRPr="00D53660" w:rsidRDefault="00465335" w:rsidP="00465335">
            <w:pPr>
              <w:pStyle w:val="AODocTxtL1"/>
              <w:widowControl w:val="0"/>
              <w:rPr>
                <w:b/>
              </w:rPr>
            </w:pPr>
            <w:r w:rsidRPr="00D53660">
              <w:rPr>
                <w:b/>
              </w:rPr>
              <w:t>ING BANK N.V.</w:t>
            </w:r>
          </w:p>
        </w:tc>
        <w:tc>
          <w:tcPr>
            <w:tcW w:w="2500" w:type="pct"/>
          </w:tcPr>
          <w:p w14:paraId="7D3D03FA" w14:textId="77777777" w:rsidR="00465335" w:rsidRPr="00D53660" w:rsidRDefault="00465335" w:rsidP="00465335">
            <w:pPr>
              <w:pStyle w:val="AODocTxtL1"/>
              <w:widowControl w:val="0"/>
              <w:rPr>
                <w:b/>
              </w:rPr>
            </w:pPr>
            <w:r w:rsidRPr="00D53660">
              <w:rPr>
                <w:b/>
              </w:rPr>
              <w:t>ING BANK N.V.</w:t>
            </w:r>
          </w:p>
        </w:tc>
      </w:tr>
      <w:tr w:rsidR="00465335" w14:paraId="1F6697E5" w14:textId="77777777" w:rsidTr="00F47A3C">
        <w:trPr>
          <w:trHeight w:val="81"/>
          <w:jc w:val="center"/>
        </w:trPr>
        <w:tc>
          <w:tcPr>
            <w:tcW w:w="2500" w:type="pct"/>
          </w:tcPr>
          <w:p w14:paraId="13FAF2A8" w14:textId="77777777" w:rsidR="00465335" w:rsidRPr="00D53660" w:rsidRDefault="00465335" w:rsidP="00465335">
            <w:pPr>
              <w:pStyle w:val="AODocTxtL1"/>
              <w:widowControl w:val="0"/>
            </w:pPr>
            <w:proofErr w:type="spellStart"/>
            <w:r w:rsidRPr="00D53660">
              <w:t>Dirección</w:t>
            </w:r>
            <w:proofErr w:type="spellEnd"/>
            <w:r w:rsidRPr="00D53660">
              <w:t xml:space="preserve">: </w:t>
            </w:r>
            <w:proofErr w:type="spellStart"/>
            <w:r w:rsidRPr="00D53660">
              <w:t>Bijlmerdreef</w:t>
            </w:r>
            <w:proofErr w:type="spellEnd"/>
            <w:r w:rsidRPr="00D53660">
              <w:t xml:space="preserve"> 106 1102 CT Amsterdam Postbus 1800 1000BV Amsterdam</w:t>
            </w:r>
          </w:p>
          <w:p w14:paraId="1D3BE482" w14:textId="77777777" w:rsidR="00465335" w:rsidRPr="00415668" w:rsidRDefault="00465335" w:rsidP="00465335">
            <w:pPr>
              <w:pStyle w:val="AONormal"/>
              <w:widowControl w:val="0"/>
              <w:ind w:left="720"/>
              <w:rPr>
                <w:lang w:val="de-DE"/>
              </w:rPr>
            </w:pPr>
            <w:proofErr w:type="spellStart"/>
            <w:r w:rsidRPr="00415668">
              <w:rPr>
                <w:lang w:val="de-DE"/>
              </w:rPr>
              <w:t>Atn</w:t>
            </w:r>
            <w:proofErr w:type="spellEnd"/>
            <w:r w:rsidRPr="00415668">
              <w:rPr>
                <w:lang w:val="de-DE"/>
              </w:rPr>
              <w:t xml:space="preserve">: Luigi Brun/Herman </w:t>
            </w:r>
            <w:proofErr w:type="spellStart"/>
            <w:r w:rsidRPr="00415668">
              <w:rPr>
                <w:lang w:val="de-DE"/>
              </w:rPr>
              <w:t>Stegeman</w:t>
            </w:r>
            <w:proofErr w:type="spellEnd"/>
            <w:r w:rsidRPr="00415668">
              <w:rPr>
                <w:lang w:val="de-DE"/>
              </w:rPr>
              <w:t xml:space="preserve"> </w:t>
            </w:r>
          </w:p>
          <w:p w14:paraId="1DBA2206" w14:textId="77777777" w:rsidR="00465335" w:rsidRPr="00415668" w:rsidRDefault="00465335" w:rsidP="00465335">
            <w:pPr>
              <w:pStyle w:val="AONormal"/>
              <w:widowControl w:val="0"/>
              <w:ind w:left="720"/>
              <w:rPr>
                <w:b/>
                <w:lang w:val="de-DE"/>
              </w:rPr>
            </w:pPr>
            <w:proofErr w:type="gramStart"/>
            <w:r w:rsidRPr="00415668">
              <w:rPr>
                <w:lang w:val="de-DE"/>
              </w:rPr>
              <w:t>Email:luigi.brun@ing.com</w:t>
            </w:r>
            <w:proofErr w:type="gramEnd"/>
            <w:r w:rsidRPr="00415668">
              <w:rPr>
                <w:lang w:val="de-DE"/>
              </w:rPr>
              <w:t>/herman.stegeman@ing.com</w:t>
            </w:r>
          </w:p>
        </w:tc>
        <w:tc>
          <w:tcPr>
            <w:tcW w:w="2500" w:type="pct"/>
          </w:tcPr>
          <w:p w14:paraId="08B80F02" w14:textId="77777777" w:rsidR="00465335" w:rsidRPr="00D53660" w:rsidRDefault="00465335" w:rsidP="00465335">
            <w:pPr>
              <w:pStyle w:val="AODocTxtL1"/>
              <w:widowControl w:val="0"/>
            </w:pPr>
            <w:r w:rsidRPr="00D53660">
              <w:t xml:space="preserve">Address: </w:t>
            </w:r>
            <w:proofErr w:type="spellStart"/>
            <w:r w:rsidRPr="00D53660">
              <w:t>Bijlmerdreef</w:t>
            </w:r>
            <w:proofErr w:type="spellEnd"/>
            <w:r w:rsidRPr="00D53660">
              <w:t xml:space="preserve"> 106 1102 CT Amsterdam Postbus 1800 1000BV Amsterdam</w:t>
            </w:r>
          </w:p>
          <w:p w14:paraId="18247680" w14:textId="77777777" w:rsidR="00465335" w:rsidRDefault="00465335" w:rsidP="00465335">
            <w:pPr>
              <w:pStyle w:val="AONormal"/>
              <w:widowControl w:val="0"/>
              <w:ind w:left="720"/>
            </w:pPr>
            <w:proofErr w:type="spellStart"/>
            <w:r w:rsidRPr="00D53660">
              <w:t>Att</w:t>
            </w:r>
            <w:proofErr w:type="spellEnd"/>
            <w:r w:rsidRPr="00D53660">
              <w:t xml:space="preserve">: Luigi Brun/Herman </w:t>
            </w:r>
          </w:p>
          <w:p w14:paraId="49E2DDDF" w14:textId="77777777" w:rsidR="00465335" w:rsidRPr="00D53660" w:rsidRDefault="00465335" w:rsidP="00465335">
            <w:pPr>
              <w:pStyle w:val="AONormal"/>
              <w:widowControl w:val="0"/>
              <w:ind w:left="720"/>
              <w:rPr>
                <w:b/>
                <w:lang w:val="en-US"/>
              </w:rPr>
            </w:pPr>
            <w:r w:rsidRPr="00D53660">
              <w:rPr>
                <w:lang w:val="en-US"/>
              </w:rPr>
              <w:t xml:space="preserve">Email: </w:t>
            </w:r>
            <w:r>
              <w:t>luigi.brun@ing.com/ herman.stegeman@ing.com</w:t>
            </w:r>
          </w:p>
        </w:tc>
      </w:tr>
      <w:tr w:rsidR="00465335" w14:paraId="6EA04C07" w14:textId="77777777" w:rsidTr="00F47A3C">
        <w:trPr>
          <w:trHeight w:val="81"/>
          <w:jc w:val="center"/>
        </w:trPr>
        <w:tc>
          <w:tcPr>
            <w:tcW w:w="2500" w:type="pct"/>
          </w:tcPr>
          <w:p w14:paraId="3DDDE48A" w14:textId="77777777" w:rsidR="00465335" w:rsidRDefault="00465335" w:rsidP="00465335">
            <w:pPr>
              <w:pStyle w:val="AOHead1"/>
              <w:keepNext w:val="0"/>
              <w:widowControl w:val="0"/>
              <w:rPr>
                <w:lang w:val="es-ES_tradnl"/>
              </w:rPr>
            </w:pPr>
            <w:bookmarkStart w:id="110" w:name="_Toc98156836"/>
            <w:bookmarkStart w:id="111" w:name="_Toc160455777"/>
            <w:bookmarkStart w:id="112" w:name="_Toc168900289"/>
            <w:bookmarkStart w:id="113" w:name="_Toc200175876"/>
            <w:bookmarkStart w:id="114" w:name="_Toc460868946"/>
            <w:bookmarkStart w:id="115" w:name="_Toc62666632"/>
            <w:bookmarkStart w:id="116" w:name="_Toc198658676"/>
            <w:r>
              <w:rPr>
                <w:rFonts w:eastAsia="Times New Roman"/>
                <w:lang w:val="es-ES_tradnl"/>
              </w:rPr>
              <w:t xml:space="preserve">Subsanación o complemento de </w:t>
            </w:r>
            <w:bookmarkEnd w:id="110"/>
            <w:bookmarkEnd w:id="111"/>
            <w:bookmarkEnd w:id="112"/>
            <w:bookmarkEnd w:id="113"/>
            <w:bookmarkEnd w:id="114"/>
            <w:r>
              <w:rPr>
                <w:rFonts w:eastAsia="Times New Roman"/>
                <w:iCs/>
                <w:lang w:val="es-ES_tradnl"/>
              </w:rPr>
              <w:t>esta póliza</w:t>
            </w:r>
            <w:bookmarkEnd w:id="115"/>
            <w:bookmarkEnd w:id="116"/>
          </w:p>
        </w:tc>
        <w:tc>
          <w:tcPr>
            <w:tcW w:w="2500" w:type="pct"/>
          </w:tcPr>
          <w:p w14:paraId="04954C64" w14:textId="77777777" w:rsidR="00465335" w:rsidRDefault="00465335" w:rsidP="00465335">
            <w:pPr>
              <w:pStyle w:val="AOGenNum1"/>
              <w:keepNext w:val="0"/>
              <w:widowControl w:val="0"/>
              <w:rPr>
                <w:rFonts w:eastAsia="Times New Roman"/>
              </w:rPr>
            </w:pPr>
            <w:bookmarkStart w:id="117" w:name="_Toc460868957"/>
            <w:bookmarkStart w:id="118" w:name="_Toc198658705"/>
            <w:r>
              <w:rPr>
                <w:rFonts w:eastAsia="Times New Roman"/>
              </w:rPr>
              <w:t xml:space="preserve">Rectification or supplement of this </w:t>
            </w:r>
            <w:bookmarkEnd w:id="117"/>
            <w:r>
              <w:rPr>
                <w:rFonts w:eastAsia="Times New Roman"/>
              </w:rPr>
              <w:t>deed</w:t>
            </w:r>
            <w:bookmarkEnd w:id="118"/>
          </w:p>
        </w:tc>
      </w:tr>
      <w:tr w:rsidR="00465335" w14:paraId="6739771A" w14:textId="77777777" w:rsidTr="00F47A3C">
        <w:trPr>
          <w:trHeight w:val="81"/>
          <w:jc w:val="center"/>
        </w:trPr>
        <w:tc>
          <w:tcPr>
            <w:tcW w:w="2500" w:type="pct"/>
          </w:tcPr>
          <w:p w14:paraId="16918F1F" w14:textId="1A6DED09" w:rsidR="00465335" w:rsidRPr="00E53971" w:rsidRDefault="00465335" w:rsidP="00465335">
            <w:pPr>
              <w:pStyle w:val="AODocTxtL1"/>
              <w:rPr>
                <w:lang w:val="es-ES"/>
              </w:rPr>
            </w:pPr>
            <w:r w:rsidRPr="00E53971">
              <w:rPr>
                <w:lang w:val="es-ES"/>
              </w:rPr>
              <w:t xml:space="preserve">Si fuera requerido para ello por </w:t>
            </w:r>
            <w:proofErr w:type="gramStart"/>
            <w:r w:rsidRPr="00E53971">
              <w:rPr>
                <w:lang w:val="es-ES"/>
              </w:rPr>
              <w:t>el las</w:t>
            </w:r>
            <w:proofErr w:type="gramEnd"/>
            <w:r w:rsidRPr="00E53971">
              <w:rPr>
                <w:lang w:val="es-ES"/>
              </w:rPr>
              <w:t xml:space="preserve"> Partes Garantizadas (a través del Agente de Garantías), </w:t>
            </w:r>
            <w:r>
              <w:rPr>
                <w:lang w:val="es-ES"/>
              </w:rPr>
              <w:t xml:space="preserve">los </w:t>
            </w:r>
            <w:proofErr w:type="spellStart"/>
            <w:r>
              <w:rPr>
                <w:lang w:val="es-ES"/>
              </w:rPr>
              <w:t>Pignorantes</w:t>
            </w:r>
            <w:proofErr w:type="spellEnd"/>
            <w:r>
              <w:rPr>
                <w:lang w:val="es-ES"/>
              </w:rPr>
              <w:t xml:space="preserve"> se comprometen</w:t>
            </w:r>
            <w:r w:rsidRPr="00E53971">
              <w:rPr>
                <w:lang w:val="es-ES"/>
              </w:rPr>
              <w:t xml:space="preserve"> a otorgar, en el plazo máximo de </w:t>
            </w:r>
            <w:r>
              <w:rPr>
                <w:lang w:val="es-ES"/>
              </w:rPr>
              <w:t>quince</w:t>
            </w:r>
            <w:r w:rsidRPr="00E53971">
              <w:rPr>
                <w:lang w:val="es-ES"/>
              </w:rPr>
              <w:t xml:space="preserve"> (</w:t>
            </w:r>
            <w:r>
              <w:rPr>
                <w:lang w:val="es-ES"/>
              </w:rPr>
              <w:t>1</w:t>
            </w:r>
            <w:r w:rsidRPr="00E53971">
              <w:rPr>
                <w:lang w:val="es-ES"/>
              </w:rPr>
              <w:t>5) Días Hábiles desde la fecha de dicho requerimiento, cuantos documentos públicos y privados de subsanació</w:t>
            </w:r>
            <w:r>
              <w:rPr>
                <w:lang w:val="es-ES"/>
              </w:rPr>
              <w:t xml:space="preserve">n, complemento o aclaración de </w:t>
            </w:r>
            <w:r w:rsidRPr="00357E75">
              <w:rPr>
                <w:lang w:val="es-ES"/>
              </w:rPr>
              <w:t>esta Póliza</w:t>
            </w:r>
            <w:r>
              <w:rPr>
                <w:lang w:val="es-ES"/>
              </w:rPr>
              <w:t xml:space="preserve"> </w:t>
            </w:r>
            <w:r w:rsidRPr="00E53971">
              <w:rPr>
                <w:lang w:val="es-ES"/>
              </w:rPr>
              <w:t>fueran</w:t>
            </w:r>
            <w:r>
              <w:rPr>
                <w:lang w:val="es-ES"/>
              </w:rPr>
              <w:t xml:space="preserve"> necesarios. Serán </w:t>
            </w:r>
            <w:proofErr w:type="spellStart"/>
            <w:r>
              <w:rPr>
                <w:lang w:val="es-ES"/>
              </w:rPr>
              <w:t>de</w:t>
            </w:r>
            <w:proofErr w:type="spellEnd"/>
            <w:r>
              <w:rPr>
                <w:lang w:val="es-ES"/>
              </w:rPr>
              <w:t xml:space="preserve"> cuenta de los</w:t>
            </w:r>
            <w:r w:rsidRPr="00E53971">
              <w:rPr>
                <w:lang w:val="es-ES"/>
              </w:rPr>
              <w:t xml:space="preserve"> </w:t>
            </w:r>
            <w:proofErr w:type="spellStart"/>
            <w:r w:rsidRPr="00E53971">
              <w:rPr>
                <w:lang w:val="es-ES"/>
              </w:rPr>
              <w:t>Pignorante</w:t>
            </w:r>
            <w:r>
              <w:rPr>
                <w:lang w:val="es-ES"/>
              </w:rPr>
              <w:t>s</w:t>
            </w:r>
            <w:proofErr w:type="spellEnd"/>
            <w:r w:rsidRPr="00E53971">
              <w:rPr>
                <w:lang w:val="es-ES"/>
              </w:rPr>
              <w:t>, cuantos tributos, tasas, aranceles y gastos de la naturaleza que sean, incluidos los honorarios de</w:t>
            </w:r>
            <w:r>
              <w:rPr>
                <w:lang w:val="es-ES"/>
              </w:rPr>
              <w:t xml:space="preserve"> </w:t>
            </w:r>
            <w:r w:rsidRPr="00E53971">
              <w:rPr>
                <w:lang w:val="es-ES"/>
              </w:rPr>
              <w:t>l</w:t>
            </w:r>
            <w:r>
              <w:rPr>
                <w:lang w:val="es-ES"/>
              </w:rPr>
              <w:t>a</w:t>
            </w:r>
            <w:r w:rsidRPr="00E53971">
              <w:rPr>
                <w:lang w:val="es-ES"/>
              </w:rPr>
              <w:t xml:space="preserve"> Notario interviniente, que se originen por la subsanación, complemento o aclaración de </w:t>
            </w:r>
            <w:r w:rsidRPr="00357E75">
              <w:rPr>
                <w:lang w:val="es-ES"/>
              </w:rPr>
              <w:t>esta Póliza</w:t>
            </w:r>
            <w:r>
              <w:rPr>
                <w:lang w:val="es-ES"/>
              </w:rPr>
              <w:t xml:space="preserve"> de acuerdo con los términos de los Documentos Garantizados</w:t>
            </w:r>
            <w:r w:rsidRPr="00E53971">
              <w:rPr>
                <w:lang w:val="es-ES"/>
              </w:rPr>
              <w:t>.</w:t>
            </w:r>
          </w:p>
        </w:tc>
        <w:tc>
          <w:tcPr>
            <w:tcW w:w="2500" w:type="pct"/>
          </w:tcPr>
          <w:p w14:paraId="692C655C" w14:textId="77777777" w:rsidR="00465335" w:rsidRPr="00901F23" w:rsidRDefault="00465335" w:rsidP="00465335">
            <w:pPr>
              <w:pStyle w:val="AODocTxtL1"/>
            </w:pPr>
            <w:r w:rsidRPr="00901F23">
              <w:t xml:space="preserve">If requested to do so by the Secured Parties (through the Security </w:t>
            </w:r>
            <w:r>
              <w:t>Trustee</w:t>
            </w:r>
            <w:r w:rsidRPr="00901F23">
              <w:t>), the Pledgo</w:t>
            </w:r>
            <w:r>
              <w:t>rs hereby undertake</w:t>
            </w:r>
            <w:r w:rsidRPr="00901F23">
              <w:t xml:space="preserve"> to execute within the maximum period of f</w:t>
            </w:r>
            <w:r>
              <w:t>ifteen</w:t>
            </w:r>
            <w:r w:rsidRPr="00901F23">
              <w:t xml:space="preserve"> (</w:t>
            </w:r>
            <w:r>
              <w:t>1</w:t>
            </w:r>
            <w:r w:rsidRPr="00901F23">
              <w:t>5) Business Days as of the date of such request, as many public or private documents of rectification, su</w:t>
            </w:r>
            <w:r>
              <w:t>pplement or correction of this Deed</w:t>
            </w:r>
            <w:r w:rsidRPr="00901F23">
              <w:t xml:space="preserve"> as may be necessary. All fees, taxes, costs and expenses, of whatever nature, including the notarial fees arising in connection with the preparation, execution and correction of such documents, will be for the account of the Pledgor</w:t>
            </w:r>
            <w:r>
              <w:t>s</w:t>
            </w:r>
            <w:r w:rsidRPr="00901F23">
              <w:t xml:space="preserve"> in accordance with the terms of the </w:t>
            </w:r>
            <w:r>
              <w:t>Secured Documents</w:t>
            </w:r>
            <w:r w:rsidRPr="00901F23">
              <w:t>.</w:t>
            </w:r>
          </w:p>
        </w:tc>
      </w:tr>
      <w:tr w:rsidR="00465335" w14:paraId="38F6E732" w14:textId="77777777" w:rsidTr="00F47A3C">
        <w:trPr>
          <w:trHeight w:val="81"/>
          <w:jc w:val="center"/>
        </w:trPr>
        <w:tc>
          <w:tcPr>
            <w:tcW w:w="2500" w:type="pct"/>
          </w:tcPr>
          <w:p w14:paraId="229B03E1" w14:textId="77777777" w:rsidR="00465335" w:rsidRDefault="00465335" w:rsidP="00465335">
            <w:pPr>
              <w:pStyle w:val="AOHead1"/>
              <w:keepNext w:val="0"/>
              <w:widowControl w:val="0"/>
            </w:pPr>
            <w:bookmarkStart w:id="119" w:name="_Toc98156838"/>
            <w:bookmarkStart w:id="120" w:name="_Toc160455779"/>
            <w:bookmarkStart w:id="121" w:name="_Toc168900291"/>
            <w:bookmarkStart w:id="122" w:name="_Toc200175878"/>
            <w:bookmarkStart w:id="123" w:name="_Ref397642517"/>
            <w:bookmarkStart w:id="124" w:name="_Toc460868947"/>
            <w:bookmarkStart w:id="125" w:name="_Ref518742900"/>
            <w:bookmarkStart w:id="126" w:name="_Ref520101475"/>
            <w:bookmarkStart w:id="127" w:name="_Toc62666633"/>
            <w:bookmarkStart w:id="128" w:name="_Toc198658677"/>
            <w:r>
              <w:rPr>
                <w:rFonts w:eastAsia="Times New Roman"/>
              </w:rPr>
              <w:t>Idioma</w:t>
            </w:r>
            <w:bookmarkEnd w:id="119"/>
            <w:bookmarkEnd w:id="120"/>
            <w:bookmarkEnd w:id="121"/>
            <w:bookmarkEnd w:id="122"/>
            <w:bookmarkEnd w:id="123"/>
            <w:bookmarkEnd w:id="124"/>
            <w:bookmarkEnd w:id="125"/>
            <w:bookmarkEnd w:id="126"/>
            <w:bookmarkEnd w:id="127"/>
            <w:bookmarkEnd w:id="128"/>
          </w:p>
        </w:tc>
        <w:tc>
          <w:tcPr>
            <w:tcW w:w="2500" w:type="pct"/>
          </w:tcPr>
          <w:p w14:paraId="2FF083A4" w14:textId="77777777" w:rsidR="00465335" w:rsidRDefault="00465335" w:rsidP="00465335">
            <w:pPr>
              <w:pStyle w:val="AOGenNum1"/>
              <w:keepNext w:val="0"/>
              <w:widowControl w:val="0"/>
              <w:rPr>
                <w:rFonts w:eastAsia="Times New Roman"/>
              </w:rPr>
            </w:pPr>
            <w:bookmarkStart w:id="129" w:name="_Toc460868958"/>
            <w:bookmarkStart w:id="130" w:name="_Ref518742885"/>
            <w:bookmarkStart w:id="131" w:name="_Ref520101503"/>
            <w:bookmarkStart w:id="132" w:name="_Toc198658706"/>
            <w:r>
              <w:rPr>
                <w:rFonts w:eastAsia="Times New Roman"/>
              </w:rPr>
              <w:t>Language</w:t>
            </w:r>
            <w:bookmarkEnd w:id="129"/>
            <w:bookmarkEnd w:id="130"/>
            <w:bookmarkEnd w:id="131"/>
            <w:bookmarkEnd w:id="132"/>
          </w:p>
        </w:tc>
      </w:tr>
      <w:tr w:rsidR="00465335" w14:paraId="1062BAB0" w14:textId="77777777" w:rsidTr="00F47A3C">
        <w:trPr>
          <w:trHeight w:val="81"/>
          <w:jc w:val="center"/>
        </w:trPr>
        <w:tc>
          <w:tcPr>
            <w:tcW w:w="2500" w:type="pct"/>
          </w:tcPr>
          <w:p w14:paraId="731040FA" w14:textId="77777777" w:rsidR="00465335" w:rsidRPr="006F2C52" w:rsidRDefault="00465335" w:rsidP="00465335">
            <w:pPr>
              <w:pStyle w:val="AODocTxtL1"/>
              <w:rPr>
                <w:lang w:val="es-ES"/>
              </w:rPr>
            </w:pPr>
            <w:r>
              <w:rPr>
                <w:lang w:val="es-ES"/>
              </w:rPr>
              <w:t>E</w:t>
            </w:r>
            <w:r w:rsidRPr="00357E75">
              <w:rPr>
                <w:lang w:val="es-ES"/>
              </w:rPr>
              <w:t>sta Póliza</w:t>
            </w:r>
            <w:r>
              <w:rPr>
                <w:lang w:val="es-ES"/>
              </w:rPr>
              <w:t xml:space="preserve"> </w:t>
            </w:r>
            <w:r w:rsidRPr="006F2C52">
              <w:rPr>
                <w:lang w:val="es-ES"/>
              </w:rPr>
              <w:t>se otorga en idiomas español e inglés. En caso de que surgieran discrepancias entre ambas versiones, prevalecerá la versión española.</w:t>
            </w:r>
          </w:p>
        </w:tc>
        <w:tc>
          <w:tcPr>
            <w:tcW w:w="2500" w:type="pct"/>
          </w:tcPr>
          <w:p w14:paraId="5199B287" w14:textId="77777777" w:rsidR="00465335" w:rsidRPr="006F2C52" w:rsidRDefault="00465335" w:rsidP="00465335">
            <w:pPr>
              <w:pStyle w:val="AODocTxtL1"/>
            </w:pPr>
            <w:r w:rsidRPr="006F2C52">
              <w:t xml:space="preserve">This </w:t>
            </w:r>
            <w:r>
              <w:t>Deed</w:t>
            </w:r>
            <w:r w:rsidRPr="006F2C52">
              <w:t xml:space="preserve"> is executed in the Spanish and English languages. In the event of discrepancies between these versions, the Spanish version shall prevail.</w:t>
            </w:r>
          </w:p>
        </w:tc>
      </w:tr>
      <w:tr w:rsidR="00465335" w14:paraId="00CFFAAA" w14:textId="77777777" w:rsidTr="00F47A3C">
        <w:trPr>
          <w:trHeight w:val="81"/>
          <w:jc w:val="center"/>
        </w:trPr>
        <w:tc>
          <w:tcPr>
            <w:tcW w:w="2500" w:type="pct"/>
          </w:tcPr>
          <w:p w14:paraId="36A0BD04" w14:textId="77777777" w:rsidR="00465335" w:rsidRPr="00901F23" w:rsidRDefault="00465335" w:rsidP="00465335">
            <w:pPr>
              <w:pStyle w:val="AOHead1"/>
            </w:pPr>
            <w:bookmarkStart w:id="133" w:name="_Toc69286689"/>
            <w:bookmarkStart w:id="134" w:name="_Toc198658678"/>
            <w:r w:rsidRPr="00901F23">
              <w:t>Segundas Copias</w:t>
            </w:r>
            <w:bookmarkEnd w:id="133"/>
            <w:bookmarkEnd w:id="134"/>
          </w:p>
        </w:tc>
        <w:tc>
          <w:tcPr>
            <w:tcW w:w="2500" w:type="pct"/>
          </w:tcPr>
          <w:p w14:paraId="4F801C71" w14:textId="77777777" w:rsidR="00465335" w:rsidRPr="00B06ED2" w:rsidRDefault="00465335" w:rsidP="00465335">
            <w:pPr>
              <w:pStyle w:val="AOGenNum1"/>
            </w:pPr>
            <w:bookmarkStart w:id="135" w:name="_Toc69286710"/>
            <w:bookmarkStart w:id="136" w:name="_Toc198658707"/>
            <w:r w:rsidRPr="00B06ED2">
              <w:t>Second Copies</w:t>
            </w:r>
            <w:bookmarkEnd w:id="135"/>
            <w:bookmarkEnd w:id="136"/>
          </w:p>
        </w:tc>
      </w:tr>
      <w:tr w:rsidR="00465335" w14:paraId="576F4F21" w14:textId="77777777" w:rsidTr="00F47A3C">
        <w:trPr>
          <w:trHeight w:val="81"/>
          <w:jc w:val="center"/>
        </w:trPr>
        <w:tc>
          <w:tcPr>
            <w:tcW w:w="2500" w:type="pct"/>
          </w:tcPr>
          <w:p w14:paraId="45CFF68B" w14:textId="77777777" w:rsidR="00465335" w:rsidRPr="00E53971" w:rsidRDefault="00465335" w:rsidP="00465335">
            <w:pPr>
              <w:pStyle w:val="AODocTxtL1"/>
              <w:rPr>
                <w:lang w:val="es-ES"/>
              </w:rPr>
            </w:pPr>
            <w:r w:rsidRPr="00E53971">
              <w:rPr>
                <w:lang w:val="es-ES"/>
              </w:rPr>
              <w:t>De acuerdo con lo p</w:t>
            </w:r>
            <w:r>
              <w:rPr>
                <w:lang w:val="es-ES"/>
              </w:rPr>
              <w:t>revisto en el artículo 233 del R</w:t>
            </w:r>
            <w:r w:rsidRPr="00E53971">
              <w:rPr>
                <w:lang w:val="es-ES"/>
              </w:rPr>
              <w:t xml:space="preserve">eglamento </w:t>
            </w:r>
            <w:r>
              <w:rPr>
                <w:lang w:val="es-ES"/>
              </w:rPr>
              <w:t>N</w:t>
            </w:r>
            <w:r w:rsidRPr="00E53971">
              <w:rPr>
                <w:lang w:val="es-ES"/>
              </w:rPr>
              <w:t>otarial</w:t>
            </w:r>
            <w:r>
              <w:rPr>
                <w:lang w:val="es-ES"/>
              </w:rPr>
              <w:t xml:space="preserve"> vigente</w:t>
            </w:r>
            <w:r w:rsidRPr="00E53971">
              <w:rPr>
                <w:lang w:val="es-ES"/>
              </w:rPr>
              <w:t xml:space="preserve">, </w:t>
            </w:r>
            <w:r>
              <w:rPr>
                <w:lang w:val="es-ES"/>
              </w:rPr>
              <w:t xml:space="preserve">aprobado en virtud de decreto de 2 de junio de 1944 </w:t>
            </w:r>
            <w:r w:rsidRPr="00E53971">
              <w:rPr>
                <w:lang w:val="es-ES"/>
              </w:rPr>
              <w:t xml:space="preserve">y en el artículo 517.2.4º de la </w:t>
            </w:r>
            <w:r>
              <w:rPr>
                <w:lang w:val="es-ES"/>
              </w:rPr>
              <w:t>LEC</w:t>
            </w:r>
            <w:r w:rsidRPr="00E53971">
              <w:rPr>
                <w:lang w:val="es-ES"/>
              </w:rPr>
              <w:t>, las Partes prestan su conformidad para la expedición de segundas y ulteriores copias con fuerza ejecutiva de</w:t>
            </w:r>
            <w:r>
              <w:rPr>
                <w:lang w:val="es-ES"/>
              </w:rPr>
              <w:t xml:space="preserve"> la</w:t>
            </w:r>
            <w:r w:rsidRPr="00E53971">
              <w:rPr>
                <w:lang w:val="es-ES"/>
              </w:rPr>
              <w:t xml:space="preserve"> presente </w:t>
            </w:r>
            <w:r>
              <w:rPr>
                <w:lang w:val="es-ES"/>
              </w:rPr>
              <w:t>Póliza</w:t>
            </w:r>
            <w:r w:rsidRPr="00E53971">
              <w:rPr>
                <w:lang w:val="es-ES"/>
              </w:rPr>
              <w:t xml:space="preserve"> y autorizan expresamente </w:t>
            </w:r>
            <w:r>
              <w:rPr>
                <w:lang w:val="es-ES"/>
              </w:rPr>
              <w:t>al</w:t>
            </w:r>
            <w:r w:rsidRPr="00E53971">
              <w:rPr>
                <w:lang w:val="es-ES"/>
              </w:rPr>
              <w:t xml:space="preserve"> </w:t>
            </w:r>
            <w:r>
              <w:rPr>
                <w:lang w:val="es-ES"/>
              </w:rPr>
              <w:t>Agente de Garantías</w:t>
            </w:r>
            <w:r w:rsidRPr="00E53971">
              <w:rPr>
                <w:lang w:val="es-ES"/>
              </w:rPr>
              <w:t>, para solicitar la expedición de dichas copias incluso si dicho interesado ya ha obtenido una copia con fuerza ejecutiva</w:t>
            </w:r>
            <w:r>
              <w:rPr>
                <w:lang w:val="es-ES"/>
              </w:rPr>
              <w:t xml:space="preserve">, cuyo coste y </w:t>
            </w:r>
            <w:r>
              <w:rPr>
                <w:lang w:val="es-ES"/>
              </w:rPr>
              <w:lastRenderedPageBreak/>
              <w:t>gastos serán asumidos por la parte que haya solicitado dichas copias notariales adicionales</w:t>
            </w:r>
            <w:r w:rsidRPr="00E53971">
              <w:rPr>
                <w:lang w:val="es-ES"/>
              </w:rPr>
              <w:t>.</w:t>
            </w:r>
          </w:p>
        </w:tc>
        <w:tc>
          <w:tcPr>
            <w:tcW w:w="2500" w:type="pct"/>
          </w:tcPr>
          <w:p w14:paraId="56320178" w14:textId="77777777" w:rsidR="00465335" w:rsidRPr="00901F23" w:rsidRDefault="00465335" w:rsidP="00465335">
            <w:pPr>
              <w:pStyle w:val="AODocTxtL1"/>
            </w:pPr>
            <w:r w:rsidRPr="00901F23">
              <w:lastRenderedPageBreak/>
              <w:t xml:space="preserve">Pursuant to article 233 of the </w:t>
            </w:r>
            <w:r>
              <w:t>Notarial R</w:t>
            </w:r>
            <w:r w:rsidRPr="00901F23">
              <w:t xml:space="preserve">egulation </w:t>
            </w:r>
            <w:r>
              <w:t xml:space="preserve">in force, approved by decree dated 2 June 1944 </w:t>
            </w:r>
            <w:r w:rsidRPr="00901F23">
              <w:t>and to article 517.2.4º of the Civil Procedural Law</w:t>
            </w:r>
            <w:r>
              <w:t>,</w:t>
            </w:r>
            <w:r w:rsidRPr="00901F23">
              <w:t xml:space="preserve"> the Parties hereby authorise the issuance of further notarial copies of this </w:t>
            </w:r>
            <w:r>
              <w:t>Deed</w:t>
            </w:r>
            <w:r w:rsidRPr="00901F23">
              <w:t xml:space="preserve"> with executive force for the purposes o</w:t>
            </w:r>
            <w:r>
              <w:t>f</w:t>
            </w:r>
            <w:r w:rsidRPr="00901F23">
              <w:t xml:space="preserve"> article 517 of the Civil Procedural Law and hereby authorise </w:t>
            </w:r>
            <w:r>
              <w:t>the Security Trustee</w:t>
            </w:r>
            <w:r w:rsidRPr="00901F23">
              <w:t>, to request the issuance of such copies even if such party has already obtained one</w:t>
            </w:r>
            <w:r>
              <w:t xml:space="preserve">, at the cost and expense of the </w:t>
            </w:r>
            <w:r>
              <w:lastRenderedPageBreak/>
              <w:t>party that has requested such additional notarial copies</w:t>
            </w:r>
            <w:r w:rsidRPr="00901F23">
              <w:t>.</w:t>
            </w:r>
          </w:p>
        </w:tc>
      </w:tr>
      <w:tr w:rsidR="00465335" w14:paraId="1F68ED6E" w14:textId="77777777" w:rsidTr="00F47A3C">
        <w:trPr>
          <w:trHeight w:val="81"/>
          <w:jc w:val="center"/>
        </w:trPr>
        <w:tc>
          <w:tcPr>
            <w:tcW w:w="2500" w:type="pct"/>
            <w:shd w:val="clear" w:color="auto" w:fill="auto"/>
          </w:tcPr>
          <w:p w14:paraId="643B8C76" w14:textId="77777777" w:rsidR="00465335" w:rsidRDefault="00465335" w:rsidP="00465335">
            <w:pPr>
              <w:pStyle w:val="AOHead1"/>
              <w:widowControl w:val="0"/>
              <w:rPr>
                <w:lang w:val="es-ES"/>
              </w:rPr>
            </w:pPr>
            <w:bookmarkStart w:id="137" w:name="_Ref519072771"/>
            <w:bookmarkStart w:id="138" w:name="_Toc62666635"/>
            <w:bookmarkStart w:id="139" w:name="_Toc198658679"/>
            <w:r>
              <w:rPr>
                <w:lang w:val="es-ES"/>
              </w:rPr>
              <w:lastRenderedPageBreak/>
              <w:t>Legislación y jurisdicción</w:t>
            </w:r>
            <w:bookmarkEnd w:id="137"/>
            <w:bookmarkEnd w:id="138"/>
            <w:bookmarkEnd w:id="139"/>
          </w:p>
        </w:tc>
        <w:tc>
          <w:tcPr>
            <w:tcW w:w="2500" w:type="pct"/>
            <w:shd w:val="clear" w:color="auto" w:fill="auto"/>
          </w:tcPr>
          <w:p w14:paraId="5B888526" w14:textId="77777777" w:rsidR="00465335" w:rsidRPr="00D047AB" w:rsidRDefault="00465335" w:rsidP="00465335">
            <w:pPr>
              <w:pStyle w:val="AOGenNum1"/>
              <w:widowControl w:val="0"/>
              <w:rPr>
                <w:lang w:val="es-ES"/>
              </w:rPr>
            </w:pPr>
            <w:bookmarkStart w:id="140" w:name="_Ref518742891"/>
            <w:bookmarkStart w:id="141" w:name="_Ref518742907"/>
            <w:bookmarkStart w:id="142" w:name="_Toc198658708"/>
            <w:r w:rsidRPr="00D047AB">
              <w:rPr>
                <w:lang w:val="es-ES"/>
              </w:rPr>
              <w:t xml:space="preserve">Applicable </w:t>
            </w:r>
            <w:r>
              <w:rPr>
                <w:lang w:val="es-ES"/>
              </w:rPr>
              <w:t>L</w:t>
            </w:r>
            <w:r w:rsidRPr="00D047AB">
              <w:rPr>
                <w:lang w:val="es-ES"/>
              </w:rPr>
              <w:t>aw and jurisdiction</w:t>
            </w:r>
            <w:bookmarkEnd w:id="140"/>
            <w:bookmarkEnd w:id="141"/>
            <w:bookmarkEnd w:id="142"/>
          </w:p>
        </w:tc>
      </w:tr>
      <w:tr w:rsidR="00417FAE" w14:paraId="5A5FA03E" w14:textId="77777777" w:rsidTr="00F47A3C">
        <w:trPr>
          <w:trHeight w:val="81"/>
          <w:jc w:val="center"/>
        </w:trPr>
        <w:tc>
          <w:tcPr>
            <w:tcW w:w="2500" w:type="pct"/>
            <w:shd w:val="clear" w:color="auto" w:fill="auto"/>
          </w:tcPr>
          <w:p w14:paraId="17695AA6" w14:textId="3A3DA333" w:rsidR="00417FAE" w:rsidRPr="00E53971" w:rsidRDefault="00417FAE" w:rsidP="00417FAE">
            <w:pPr>
              <w:pStyle w:val="AOAltHead2"/>
              <w:rPr>
                <w:lang w:val="es-ES"/>
              </w:rPr>
            </w:pPr>
            <w:r w:rsidRPr="00357E75">
              <w:rPr>
                <w:lang w:val="es-ES"/>
              </w:rPr>
              <w:t>L</w:t>
            </w:r>
            <w:r>
              <w:rPr>
                <w:lang w:val="es-ES"/>
              </w:rPr>
              <w:t>a</w:t>
            </w:r>
            <w:r w:rsidRPr="00E53971">
              <w:rPr>
                <w:lang w:val="es-ES"/>
              </w:rPr>
              <w:t xml:space="preserve"> presente </w:t>
            </w:r>
            <w:r>
              <w:rPr>
                <w:lang w:val="es-ES"/>
              </w:rPr>
              <w:t>Póliza</w:t>
            </w:r>
            <w:r w:rsidRPr="00E53971">
              <w:rPr>
                <w:lang w:val="es-ES"/>
              </w:rPr>
              <w:t xml:space="preserve"> se regirá por la legislación común española</w:t>
            </w:r>
            <w:r>
              <w:rPr>
                <w:lang w:val="es-ES"/>
              </w:rPr>
              <w:t>, a excepción de la Cláusula 7 anterior en relación con la Garantía que se regirá por derecho inglés de acuerdo con lo previsto en el Contrato de Adhesión y en el Contrato entre Acreedores</w:t>
            </w:r>
            <w:r w:rsidRPr="00E53971">
              <w:rPr>
                <w:lang w:val="es-ES"/>
              </w:rPr>
              <w:t>.</w:t>
            </w:r>
          </w:p>
        </w:tc>
        <w:tc>
          <w:tcPr>
            <w:tcW w:w="2500" w:type="pct"/>
            <w:shd w:val="clear" w:color="auto" w:fill="auto"/>
          </w:tcPr>
          <w:p w14:paraId="3FC742EF" w14:textId="535EBB71" w:rsidR="00417FAE" w:rsidRPr="00E145CE" w:rsidRDefault="00417FAE" w:rsidP="00417FAE">
            <w:pPr>
              <w:pStyle w:val="AOGenNum1Para"/>
              <w:rPr>
                <w:b w:val="0"/>
              </w:rPr>
            </w:pPr>
            <w:r w:rsidRPr="00E145CE">
              <w:rPr>
                <w:b w:val="0"/>
              </w:rPr>
              <w:t xml:space="preserve">This </w:t>
            </w:r>
            <w:r>
              <w:rPr>
                <w:b w:val="0"/>
              </w:rPr>
              <w:t>Deed</w:t>
            </w:r>
            <w:r w:rsidRPr="00E145CE">
              <w:rPr>
                <w:b w:val="0"/>
              </w:rPr>
              <w:t xml:space="preserve"> shall be governed by Spanish Common law</w:t>
            </w:r>
            <w:r>
              <w:rPr>
                <w:b w:val="0"/>
              </w:rPr>
              <w:t>, except for Clause 7 relating to the Guarantee which shall be governed by English law in accordance with the terms of the Accession Memorandum and the STID</w:t>
            </w:r>
            <w:r w:rsidRPr="00E145CE">
              <w:rPr>
                <w:b w:val="0"/>
              </w:rPr>
              <w:t>.</w:t>
            </w:r>
          </w:p>
        </w:tc>
      </w:tr>
      <w:tr w:rsidR="00417FAE" w14:paraId="4037C6F5" w14:textId="77777777" w:rsidTr="00F47A3C">
        <w:trPr>
          <w:trHeight w:val="81"/>
          <w:jc w:val="center"/>
        </w:trPr>
        <w:tc>
          <w:tcPr>
            <w:tcW w:w="2500" w:type="pct"/>
            <w:shd w:val="clear" w:color="auto" w:fill="auto"/>
          </w:tcPr>
          <w:p w14:paraId="21934710" w14:textId="7449C96C" w:rsidR="00417FAE" w:rsidRPr="006315FC" w:rsidRDefault="00417FAE" w:rsidP="00417FAE">
            <w:pPr>
              <w:pStyle w:val="AODocTxtL1"/>
              <w:rPr>
                <w:lang w:val="es-ES"/>
              </w:rPr>
            </w:pPr>
            <w:r w:rsidRPr="00E53971">
              <w:rPr>
                <w:lang w:val="es-ES"/>
              </w:rPr>
              <w:t xml:space="preserve">Los juzgados y tribunales de la ciudad de </w:t>
            </w:r>
            <w:r>
              <w:rPr>
                <w:lang w:val="es-ES"/>
              </w:rPr>
              <w:t>Madrid</w:t>
            </w:r>
            <w:r w:rsidRPr="00E53971">
              <w:rPr>
                <w:lang w:val="es-ES"/>
              </w:rPr>
              <w:t>, España, tendrán jurisdicción exclusiva sobre las cuestiones y/o discrepa</w:t>
            </w:r>
            <w:r>
              <w:rPr>
                <w:lang w:val="es-ES"/>
              </w:rPr>
              <w:t xml:space="preserve">ncias derivadas de o relativas </w:t>
            </w:r>
            <w:r w:rsidRPr="00E53971">
              <w:rPr>
                <w:lang w:val="es-ES"/>
              </w:rPr>
              <w:t>a</w:t>
            </w:r>
            <w:r>
              <w:rPr>
                <w:lang w:val="es-ES"/>
              </w:rPr>
              <w:t xml:space="preserve"> la</w:t>
            </w:r>
            <w:r w:rsidRPr="00E53971">
              <w:rPr>
                <w:lang w:val="es-ES"/>
              </w:rPr>
              <w:t xml:space="preserve"> presente </w:t>
            </w:r>
            <w:r>
              <w:rPr>
                <w:lang w:val="es-ES"/>
              </w:rPr>
              <w:t>Póliza</w:t>
            </w:r>
            <w:r w:rsidRPr="00E53971">
              <w:rPr>
                <w:lang w:val="es-ES"/>
              </w:rPr>
              <w:t xml:space="preserve"> (incluyendo cualesquiera cuestiones o discrepancias relativas a la ex</w:t>
            </w:r>
            <w:r>
              <w:rPr>
                <w:lang w:val="es-ES"/>
              </w:rPr>
              <w:t xml:space="preserve">istencia, validez o resolución </w:t>
            </w:r>
            <w:r w:rsidRPr="00E53971">
              <w:rPr>
                <w:lang w:val="es-ES"/>
              </w:rPr>
              <w:t>de</w:t>
            </w:r>
            <w:r>
              <w:rPr>
                <w:lang w:val="es-ES"/>
              </w:rPr>
              <w:t xml:space="preserve"> la</w:t>
            </w:r>
            <w:r w:rsidRPr="00E53971">
              <w:rPr>
                <w:lang w:val="es-ES"/>
              </w:rPr>
              <w:t xml:space="preserve"> presente </w:t>
            </w:r>
            <w:r>
              <w:rPr>
                <w:lang w:val="es-ES"/>
              </w:rPr>
              <w:t>Póliza</w:t>
            </w:r>
            <w:r w:rsidRPr="00E53971">
              <w:rPr>
                <w:lang w:val="es-ES"/>
              </w:rPr>
              <w:t xml:space="preserve"> o a las consecuencias de su eventual declaración de nulidad)</w:t>
            </w:r>
            <w:r>
              <w:rPr>
                <w:lang w:val="es-ES"/>
              </w:rPr>
              <w:t>, a excepción de la Cláusula 7 anterior en relación con la Garantía, cuyos juzgados y tribunales competentes serán los designados a tal efecto en el Contrato entre Acreedores</w:t>
            </w:r>
            <w:r w:rsidRPr="00E53971">
              <w:rPr>
                <w:lang w:val="es-ES"/>
              </w:rPr>
              <w:t>.</w:t>
            </w:r>
          </w:p>
        </w:tc>
        <w:tc>
          <w:tcPr>
            <w:tcW w:w="2500" w:type="pct"/>
            <w:shd w:val="clear" w:color="auto" w:fill="auto"/>
          </w:tcPr>
          <w:p w14:paraId="2A19F0CE" w14:textId="03F20D4F" w:rsidR="00417FAE" w:rsidRPr="00E145CE" w:rsidRDefault="00417FAE" w:rsidP="00417FAE">
            <w:pPr>
              <w:pStyle w:val="AOGenNum1Para"/>
              <w:rPr>
                <w:b w:val="0"/>
              </w:rPr>
            </w:pPr>
            <w:r w:rsidRPr="00E145CE">
              <w:rPr>
                <w:b w:val="0"/>
              </w:rPr>
              <w:t>The city of Madrid, Spain has exclusive jurisdiction to settle any dispute arising out of or i</w:t>
            </w:r>
            <w:r>
              <w:rPr>
                <w:b w:val="0"/>
              </w:rPr>
              <w:t>n connection with this Deed</w:t>
            </w:r>
            <w:r w:rsidRPr="00E145CE">
              <w:rPr>
                <w:b w:val="0"/>
              </w:rPr>
              <w:t xml:space="preserve"> (including any disputes regarding the existence, validity or termination of this </w:t>
            </w:r>
            <w:r>
              <w:rPr>
                <w:b w:val="0"/>
              </w:rPr>
              <w:t>Deed</w:t>
            </w:r>
            <w:r w:rsidRPr="00E145CE">
              <w:rPr>
                <w:b w:val="0"/>
              </w:rPr>
              <w:t xml:space="preserve"> or the consequences of its eventual nullity)</w:t>
            </w:r>
            <w:r>
              <w:rPr>
                <w:b w:val="0"/>
              </w:rPr>
              <w:t>, except for Clause 7 relating to the Guarantee, for which the courts which will have jurisdiction will be those identified for such purpose in the STID</w:t>
            </w:r>
            <w:r w:rsidRPr="00E145CE">
              <w:rPr>
                <w:b w:val="0"/>
              </w:rPr>
              <w:t>.</w:t>
            </w:r>
          </w:p>
        </w:tc>
      </w:tr>
    </w:tbl>
    <w:bookmarkEnd w:id="10"/>
    <w:bookmarkEnd w:id="11"/>
    <w:bookmarkEnd w:id="12"/>
    <w:bookmarkEnd w:id="13"/>
    <w:bookmarkEnd w:id="14"/>
    <w:bookmarkEnd w:id="52"/>
    <w:p w14:paraId="2ED1CD45" w14:textId="50CC3884" w:rsidR="00A4422A" w:rsidRPr="00061AA0" w:rsidRDefault="00A4422A" w:rsidP="005C1CCA">
      <w:pPr>
        <w:pStyle w:val="AONormal"/>
        <w:widowControl w:val="0"/>
        <w:jc w:val="center"/>
        <w:rPr>
          <w:lang w:val="es-ES"/>
        </w:rPr>
      </w:pPr>
      <w:r w:rsidRPr="00E85C87">
        <w:rPr>
          <w:lang w:val="es-ES"/>
        </w:rPr>
        <w:t>[</w:t>
      </w:r>
      <w:r w:rsidRPr="00E85C87">
        <w:rPr>
          <w:i/>
          <w:lang w:val="es-ES"/>
        </w:rPr>
        <w:t xml:space="preserve">Siguen páginas de firmas / </w:t>
      </w:r>
      <w:proofErr w:type="spellStart"/>
      <w:r w:rsidRPr="00E85C87">
        <w:rPr>
          <w:i/>
          <w:lang w:val="es-ES"/>
        </w:rPr>
        <w:t>Signature</w:t>
      </w:r>
      <w:proofErr w:type="spellEnd"/>
      <w:r w:rsidRPr="00E85C87">
        <w:rPr>
          <w:i/>
          <w:lang w:val="es-ES"/>
        </w:rPr>
        <w:t xml:space="preserve"> </w:t>
      </w:r>
      <w:proofErr w:type="spellStart"/>
      <w:r w:rsidRPr="00E85C87">
        <w:rPr>
          <w:i/>
          <w:lang w:val="es-ES"/>
        </w:rPr>
        <w:t>pages</w:t>
      </w:r>
      <w:proofErr w:type="spellEnd"/>
      <w:r w:rsidRPr="00E85C87">
        <w:rPr>
          <w:i/>
          <w:lang w:val="es-ES"/>
        </w:rPr>
        <w:t xml:space="preserve"> </w:t>
      </w:r>
      <w:proofErr w:type="spellStart"/>
      <w:r w:rsidRPr="00E85C87">
        <w:rPr>
          <w:i/>
          <w:lang w:val="es-ES"/>
        </w:rPr>
        <w:t>follow</w:t>
      </w:r>
      <w:proofErr w:type="spellEnd"/>
      <w:r>
        <w:rPr>
          <w:lang w:val="es-ES"/>
        </w:rPr>
        <w:t>]</w:t>
      </w:r>
      <w:r w:rsidRPr="00E85C87">
        <w:rPr>
          <w:lang w:val="es-ES"/>
        </w:rPr>
        <w:br w:type="page"/>
      </w:r>
    </w:p>
    <w:tbl>
      <w:tblPr>
        <w:tblW w:w="5014" w:type="pct"/>
        <w:tblInd w:w="-27" w:type="dxa"/>
        <w:tblCellMar>
          <w:left w:w="115" w:type="dxa"/>
          <w:right w:w="115" w:type="dxa"/>
        </w:tblCellMar>
        <w:tblLook w:val="01E0" w:firstRow="1" w:lastRow="1" w:firstColumn="1" w:lastColumn="1" w:noHBand="0" w:noVBand="0"/>
      </w:tblPr>
      <w:tblGrid>
        <w:gridCol w:w="4832"/>
        <w:gridCol w:w="4833"/>
      </w:tblGrid>
      <w:tr w:rsidR="00A4422A" w14:paraId="015F2035" w14:textId="77777777" w:rsidTr="00B53048">
        <w:tc>
          <w:tcPr>
            <w:tcW w:w="2500" w:type="pct"/>
          </w:tcPr>
          <w:p w14:paraId="41BC8BA2" w14:textId="77777777" w:rsidR="00A4422A" w:rsidRPr="00674C5B" w:rsidRDefault="00F564B9" w:rsidP="00E57898">
            <w:pPr>
              <w:pStyle w:val="AODocTxt"/>
              <w:widowControl w:val="0"/>
              <w:rPr>
                <w:b/>
                <w:bCs/>
              </w:rPr>
            </w:pPr>
            <w:bookmarkStart w:id="143" w:name="bmkOSAQCTable13286310"/>
            <w:bookmarkStart w:id="144" w:name="bmkOSAQCTable10539156"/>
            <w:r>
              <w:rPr>
                <w:b/>
                <w:bCs/>
              </w:rPr>
              <w:lastRenderedPageBreak/>
              <w:t>Los</w:t>
            </w:r>
            <w:r w:rsidR="00E57898">
              <w:rPr>
                <w:b/>
                <w:bCs/>
              </w:rPr>
              <w:t xml:space="preserve"> </w:t>
            </w:r>
            <w:proofErr w:type="spellStart"/>
            <w:r w:rsidR="00A4422A">
              <w:rPr>
                <w:b/>
                <w:bCs/>
              </w:rPr>
              <w:t>Pignorante</w:t>
            </w:r>
            <w:r>
              <w:rPr>
                <w:b/>
                <w:bCs/>
              </w:rPr>
              <w:t>s</w:t>
            </w:r>
            <w:proofErr w:type="spellEnd"/>
            <w:r w:rsidR="00A4422A">
              <w:rPr>
                <w:b/>
                <w:bCs/>
              </w:rPr>
              <w:t xml:space="preserve"> / The Pledgor</w:t>
            </w:r>
            <w:r>
              <w:rPr>
                <w:b/>
                <w:bCs/>
              </w:rPr>
              <w:t>s</w:t>
            </w:r>
            <w:r w:rsidR="00A4422A">
              <w:rPr>
                <w:b/>
                <w:bCs/>
              </w:rPr>
              <w:t xml:space="preserve"> </w:t>
            </w:r>
          </w:p>
        </w:tc>
        <w:tc>
          <w:tcPr>
            <w:tcW w:w="2500" w:type="pct"/>
          </w:tcPr>
          <w:p w14:paraId="7945AF33" w14:textId="77777777" w:rsidR="00A4422A" w:rsidRDefault="00A4422A" w:rsidP="00B53048">
            <w:pPr>
              <w:pStyle w:val="AODocTxt"/>
              <w:widowControl w:val="0"/>
              <w:rPr>
                <w:b/>
                <w:bCs/>
              </w:rPr>
            </w:pPr>
          </w:p>
        </w:tc>
      </w:tr>
      <w:tr w:rsidR="00A4422A" w:rsidRPr="00A4106E" w14:paraId="4F18FDEB" w14:textId="77777777" w:rsidTr="00B53048">
        <w:tc>
          <w:tcPr>
            <w:tcW w:w="2500" w:type="pct"/>
          </w:tcPr>
          <w:p w14:paraId="2EE65BE7" w14:textId="53A22412" w:rsidR="00A4422A" w:rsidRPr="00415668" w:rsidRDefault="00E57898" w:rsidP="00413F1B">
            <w:pPr>
              <w:pStyle w:val="AODocTxt"/>
              <w:widowControl w:val="0"/>
              <w:rPr>
                <w:rFonts w:eastAsia="Calibri"/>
                <w:b/>
                <w:lang w:val="fr-FR"/>
              </w:rPr>
            </w:pPr>
            <w:r w:rsidRPr="00415668">
              <w:rPr>
                <w:rFonts w:eastAsia="Calibri"/>
                <w:b/>
                <w:lang w:val="fr-FR"/>
              </w:rPr>
              <w:t>BEACON RAIL FINANCE S.À R.L.</w:t>
            </w:r>
          </w:p>
        </w:tc>
        <w:tc>
          <w:tcPr>
            <w:tcW w:w="2500" w:type="pct"/>
          </w:tcPr>
          <w:p w14:paraId="56607FF0" w14:textId="77777777" w:rsidR="00A4422A" w:rsidRPr="00415668" w:rsidRDefault="00A4422A" w:rsidP="00B53048">
            <w:pPr>
              <w:pStyle w:val="AODocTxt"/>
              <w:widowControl w:val="0"/>
              <w:rPr>
                <w:rFonts w:eastAsia="Calibri"/>
                <w:b/>
                <w:lang w:val="fr-FR"/>
              </w:rPr>
            </w:pPr>
          </w:p>
        </w:tc>
      </w:tr>
      <w:tr w:rsidR="00C12879" w:rsidRPr="00250394" w14:paraId="60DF84D4" w14:textId="77777777" w:rsidTr="00B53048">
        <w:tc>
          <w:tcPr>
            <w:tcW w:w="2500" w:type="pct"/>
          </w:tcPr>
          <w:p w14:paraId="0CD1F126" w14:textId="77777777" w:rsidR="00C12879" w:rsidRPr="00415668" w:rsidRDefault="00C12879" w:rsidP="00A72BB2">
            <w:pPr>
              <w:pStyle w:val="AODocTxt"/>
              <w:widowControl w:val="0"/>
              <w:spacing w:before="0"/>
              <w:rPr>
                <w:rFonts w:eastAsia="Calibri"/>
                <w:b/>
                <w:lang w:val="fr-FR"/>
              </w:rPr>
            </w:pPr>
          </w:p>
          <w:p w14:paraId="6D1CEAEF" w14:textId="77777777" w:rsidR="00C12879" w:rsidRPr="00415668" w:rsidRDefault="00C12879" w:rsidP="00A72BB2">
            <w:pPr>
              <w:pStyle w:val="AODocTxt"/>
              <w:widowControl w:val="0"/>
              <w:spacing w:before="0"/>
              <w:rPr>
                <w:rFonts w:eastAsia="Calibri"/>
                <w:b/>
                <w:lang w:val="fr-FR"/>
              </w:rPr>
            </w:pPr>
          </w:p>
          <w:p w14:paraId="096DD281" w14:textId="77777777" w:rsidR="00C12879" w:rsidRPr="00415668" w:rsidRDefault="00C12879" w:rsidP="00A72BB2">
            <w:pPr>
              <w:pStyle w:val="AODocTxt"/>
              <w:widowControl w:val="0"/>
              <w:spacing w:before="0"/>
              <w:rPr>
                <w:rFonts w:eastAsia="Calibri"/>
                <w:b/>
                <w:lang w:val="fr-FR"/>
              </w:rPr>
            </w:pPr>
          </w:p>
          <w:p w14:paraId="5531661E" w14:textId="77777777" w:rsidR="00C12879" w:rsidRPr="00415668" w:rsidRDefault="00C12879" w:rsidP="00C12879">
            <w:pPr>
              <w:pStyle w:val="AONormal"/>
              <w:widowControl w:val="0"/>
              <w:rPr>
                <w:u w:val="single"/>
                <w:lang w:val="fr-FR"/>
              </w:rPr>
            </w:pPr>
            <w:r w:rsidRPr="00415668">
              <w:rPr>
                <w:u w:val="single"/>
                <w:lang w:val="fr-FR"/>
              </w:rPr>
              <w:tab/>
            </w:r>
            <w:r w:rsidRPr="00415668">
              <w:rPr>
                <w:u w:val="single"/>
                <w:lang w:val="fr-FR"/>
              </w:rPr>
              <w:tab/>
            </w:r>
            <w:r w:rsidRPr="00415668">
              <w:rPr>
                <w:u w:val="single"/>
                <w:lang w:val="fr-FR"/>
              </w:rPr>
              <w:tab/>
            </w:r>
            <w:r w:rsidRPr="00415668">
              <w:rPr>
                <w:u w:val="single"/>
                <w:lang w:val="fr-FR"/>
              </w:rPr>
              <w:tab/>
            </w:r>
            <w:r w:rsidRPr="00415668">
              <w:rPr>
                <w:u w:val="single"/>
                <w:lang w:val="fr-FR"/>
              </w:rPr>
              <w:tab/>
            </w:r>
            <w:r w:rsidRPr="00415668">
              <w:rPr>
                <w:u w:val="single"/>
                <w:lang w:val="fr-FR"/>
              </w:rPr>
              <w:tab/>
            </w:r>
          </w:p>
          <w:p w14:paraId="63278322" w14:textId="68665470" w:rsidR="00C12879" w:rsidRPr="00E2076F" w:rsidRDefault="00D751BD" w:rsidP="009D6A43">
            <w:pPr>
              <w:pStyle w:val="AODocTxt"/>
              <w:widowControl w:val="0"/>
              <w:spacing w:before="0"/>
              <w:rPr>
                <w:rFonts w:eastAsia="Calibri"/>
                <w:b/>
                <w:lang w:val="fr-FR"/>
              </w:rPr>
            </w:pPr>
            <w:r w:rsidRPr="00E2076F">
              <w:rPr>
                <w:lang w:val="fr-FR"/>
              </w:rPr>
              <w:t xml:space="preserve">P.p. </w:t>
            </w:r>
            <w:r w:rsidR="00A832A7">
              <w:rPr>
                <w:lang w:val="es-ES"/>
              </w:rPr>
              <w:t>[</w:t>
            </w:r>
            <w:r w:rsidR="00A832A7">
              <w:rPr>
                <w:lang w:val="es-ES"/>
              </w:rPr>
              <w:sym w:font="Wingdings" w:char="F06C"/>
            </w:r>
            <w:r w:rsidR="00A832A7">
              <w:rPr>
                <w:lang w:val="es-ES"/>
              </w:rPr>
              <w:t>]</w:t>
            </w:r>
          </w:p>
        </w:tc>
        <w:tc>
          <w:tcPr>
            <w:tcW w:w="2500" w:type="pct"/>
          </w:tcPr>
          <w:p w14:paraId="7DDEA150" w14:textId="77777777" w:rsidR="00C12879" w:rsidRPr="00E2076F" w:rsidRDefault="00C12879" w:rsidP="00B53048">
            <w:pPr>
              <w:pStyle w:val="AODocTxt"/>
              <w:widowControl w:val="0"/>
              <w:rPr>
                <w:rFonts w:eastAsia="Calibri"/>
                <w:b/>
                <w:lang w:val="fr-FR"/>
              </w:rPr>
            </w:pPr>
          </w:p>
        </w:tc>
      </w:tr>
      <w:tr w:rsidR="00C12879" w:rsidRPr="009D6A43" w14:paraId="1923EBAC" w14:textId="77777777" w:rsidTr="00B53048">
        <w:tc>
          <w:tcPr>
            <w:tcW w:w="2500" w:type="pct"/>
          </w:tcPr>
          <w:p w14:paraId="79F7A223" w14:textId="77777777" w:rsidR="00C12879" w:rsidRPr="009D6A43" w:rsidRDefault="00C12879" w:rsidP="00C12879">
            <w:pPr>
              <w:pStyle w:val="AODocTxt"/>
              <w:widowControl w:val="0"/>
              <w:rPr>
                <w:b/>
                <w:lang w:val="fr-FR"/>
              </w:rPr>
            </w:pPr>
            <w:r w:rsidRPr="009D6A43">
              <w:rPr>
                <w:b/>
                <w:lang w:val="fr-FR"/>
              </w:rPr>
              <w:t>BEACON RAIL FINANCE IBERIA S.L.U.</w:t>
            </w:r>
          </w:p>
        </w:tc>
        <w:tc>
          <w:tcPr>
            <w:tcW w:w="2500" w:type="pct"/>
          </w:tcPr>
          <w:p w14:paraId="2C1412D9" w14:textId="77777777" w:rsidR="00C12879" w:rsidRPr="009D6A43" w:rsidRDefault="00C12879" w:rsidP="00B53048">
            <w:pPr>
              <w:pStyle w:val="AODocTxt"/>
              <w:widowControl w:val="0"/>
              <w:rPr>
                <w:rFonts w:eastAsia="Calibri"/>
                <w:b/>
                <w:lang w:val="fr-FR"/>
              </w:rPr>
            </w:pPr>
          </w:p>
        </w:tc>
      </w:tr>
      <w:tr w:rsidR="00A4422A" w:rsidRPr="00250394" w14:paraId="1B225C71" w14:textId="77777777" w:rsidTr="00B53048">
        <w:tc>
          <w:tcPr>
            <w:tcW w:w="2500" w:type="pct"/>
          </w:tcPr>
          <w:p w14:paraId="1214DAFC" w14:textId="77777777" w:rsidR="00A4422A" w:rsidRPr="009D6A43" w:rsidRDefault="00A4422A" w:rsidP="00B53048">
            <w:pPr>
              <w:pStyle w:val="AONormal"/>
              <w:widowControl w:val="0"/>
              <w:rPr>
                <w:lang w:val="fr-FR"/>
              </w:rPr>
            </w:pPr>
          </w:p>
          <w:p w14:paraId="4521C38C" w14:textId="77777777" w:rsidR="00A4422A" w:rsidRPr="009D6A43" w:rsidRDefault="00A4422A" w:rsidP="00B53048">
            <w:pPr>
              <w:pStyle w:val="AONormal"/>
              <w:widowControl w:val="0"/>
              <w:rPr>
                <w:lang w:val="fr-FR"/>
              </w:rPr>
            </w:pPr>
          </w:p>
          <w:p w14:paraId="3B57AF12" w14:textId="77777777" w:rsidR="00A4422A" w:rsidRPr="009D6A43" w:rsidRDefault="00A4422A" w:rsidP="00B53048">
            <w:pPr>
              <w:pStyle w:val="AONormal"/>
              <w:widowControl w:val="0"/>
              <w:rPr>
                <w:lang w:val="fr-FR"/>
              </w:rPr>
            </w:pPr>
          </w:p>
          <w:p w14:paraId="2DE41DE2" w14:textId="77777777" w:rsidR="00A4422A" w:rsidRPr="009D6A43" w:rsidRDefault="00A4422A" w:rsidP="00B53048">
            <w:pPr>
              <w:pStyle w:val="AONormal"/>
              <w:widowControl w:val="0"/>
              <w:rPr>
                <w:u w:val="single"/>
                <w:lang w:val="fr-FR"/>
              </w:rPr>
            </w:pPr>
            <w:r w:rsidRPr="009D6A43">
              <w:rPr>
                <w:u w:val="single"/>
                <w:lang w:val="fr-FR"/>
              </w:rPr>
              <w:tab/>
            </w:r>
            <w:r w:rsidRPr="009D6A43">
              <w:rPr>
                <w:u w:val="single"/>
                <w:lang w:val="fr-FR"/>
              </w:rPr>
              <w:tab/>
            </w:r>
            <w:r w:rsidRPr="009D6A43">
              <w:rPr>
                <w:u w:val="single"/>
                <w:lang w:val="fr-FR"/>
              </w:rPr>
              <w:tab/>
            </w:r>
            <w:r w:rsidRPr="009D6A43">
              <w:rPr>
                <w:u w:val="single"/>
                <w:lang w:val="fr-FR"/>
              </w:rPr>
              <w:tab/>
            </w:r>
            <w:r w:rsidRPr="009D6A43">
              <w:rPr>
                <w:u w:val="single"/>
                <w:lang w:val="fr-FR"/>
              </w:rPr>
              <w:tab/>
            </w:r>
            <w:r w:rsidRPr="009D6A43">
              <w:rPr>
                <w:u w:val="single"/>
                <w:lang w:val="fr-FR"/>
              </w:rPr>
              <w:tab/>
            </w:r>
          </w:p>
          <w:p w14:paraId="235B2080" w14:textId="0888969D" w:rsidR="00A4422A" w:rsidRPr="00E2076F" w:rsidRDefault="00A4422A" w:rsidP="00E57898">
            <w:pPr>
              <w:pStyle w:val="AONormal"/>
              <w:widowControl w:val="0"/>
              <w:rPr>
                <w:lang w:val="es-ES"/>
              </w:rPr>
            </w:pPr>
            <w:r w:rsidRPr="00E2076F">
              <w:rPr>
                <w:lang w:val="es-ES"/>
              </w:rPr>
              <w:t xml:space="preserve">P.p. </w:t>
            </w:r>
            <w:r w:rsidR="0022680C">
              <w:rPr>
                <w:lang w:val="es-ES"/>
              </w:rPr>
              <w:t>[</w:t>
            </w:r>
            <w:r w:rsidR="0022680C">
              <w:rPr>
                <w:lang w:val="es-ES"/>
              </w:rPr>
              <w:sym w:font="Wingdings" w:char="F06C"/>
            </w:r>
            <w:r w:rsidR="0022680C">
              <w:rPr>
                <w:lang w:val="es-ES"/>
              </w:rPr>
              <w:t>]</w:t>
            </w:r>
          </w:p>
        </w:tc>
        <w:tc>
          <w:tcPr>
            <w:tcW w:w="2500" w:type="pct"/>
          </w:tcPr>
          <w:p w14:paraId="79FA8738" w14:textId="77777777" w:rsidR="00A4422A" w:rsidRPr="00E2076F" w:rsidRDefault="00A4422A" w:rsidP="00B53048">
            <w:pPr>
              <w:pStyle w:val="AONormal"/>
              <w:widowControl w:val="0"/>
              <w:rPr>
                <w:lang w:val="es-ES"/>
              </w:rPr>
            </w:pPr>
          </w:p>
        </w:tc>
      </w:tr>
      <w:tr w:rsidR="00417FAE" w:rsidRPr="00250394" w14:paraId="6AEFD87E" w14:textId="77777777" w:rsidTr="00B53048">
        <w:tc>
          <w:tcPr>
            <w:tcW w:w="2500" w:type="pct"/>
          </w:tcPr>
          <w:p w14:paraId="1F6ECEAE" w14:textId="77777777" w:rsidR="00417FAE" w:rsidRPr="009D6A43" w:rsidRDefault="00417FAE" w:rsidP="00B53048">
            <w:pPr>
              <w:pStyle w:val="AONormal"/>
              <w:widowControl w:val="0"/>
              <w:rPr>
                <w:lang w:val="fr-FR"/>
              </w:rPr>
            </w:pPr>
          </w:p>
        </w:tc>
        <w:tc>
          <w:tcPr>
            <w:tcW w:w="2500" w:type="pct"/>
          </w:tcPr>
          <w:p w14:paraId="78FBB230" w14:textId="77777777" w:rsidR="00417FAE" w:rsidRPr="00E2076F" w:rsidRDefault="00417FAE" w:rsidP="00B53048">
            <w:pPr>
              <w:pStyle w:val="AONormal"/>
              <w:widowControl w:val="0"/>
              <w:rPr>
                <w:lang w:val="es-ES"/>
              </w:rPr>
            </w:pPr>
          </w:p>
        </w:tc>
      </w:tr>
      <w:tr w:rsidR="00417FAE" w:rsidRPr="00250394" w14:paraId="6C64C70C" w14:textId="77777777" w:rsidTr="00B53048">
        <w:tc>
          <w:tcPr>
            <w:tcW w:w="2500" w:type="pct"/>
          </w:tcPr>
          <w:p w14:paraId="09FC2215" w14:textId="77777777" w:rsidR="00417FAE" w:rsidRDefault="00417FAE" w:rsidP="00417FAE">
            <w:pPr>
              <w:pStyle w:val="AODocTxt"/>
              <w:widowControl w:val="0"/>
              <w:rPr>
                <w:b/>
                <w:lang w:val="es-ES"/>
              </w:rPr>
            </w:pPr>
            <w:r>
              <w:rPr>
                <w:b/>
                <w:lang w:val="es-ES"/>
              </w:rPr>
              <w:t xml:space="preserve">El Garante / The </w:t>
            </w:r>
            <w:proofErr w:type="spellStart"/>
            <w:r>
              <w:rPr>
                <w:b/>
                <w:lang w:val="es-ES"/>
              </w:rPr>
              <w:t>Guarantor</w:t>
            </w:r>
            <w:proofErr w:type="spellEnd"/>
          </w:p>
          <w:p w14:paraId="28B43F65" w14:textId="77777777" w:rsidR="00417FAE" w:rsidRPr="00E71E01" w:rsidRDefault="00417FAE" w:rsidP="00417FAE">
            <w:pPr>
              <w:pStyle w:val="AODocTxt"/>
              <w:rPr>
                <w:b/>
                <w:lang w:val="es-ES"/>
              </w:rPr>
            </w:pPr>
            <w:r w:rsidRPr="00E71E01">
              <w:rPr>
                <w:b/>
                <w:lang w:val="es-ES"/>
              </w:rPr>
              <w:t>BEACON RAIL FINANCE IBERIA S.L.U.</w:t>
            </w:r>
          </w:p>
          <w:p w14:paraId="0E5139C3" w14:textId="77777777" w:rsidR="00417FAE" w:rsidRPr="009D6A43" w:rsidRDefault="00417FAE" w:rsidP="00417FAE">
            <w:pPr>
              <w:pStyle w:val="AONormal"/>
              <w:widowControl w:val="0"/>
              <w:rPr>
                <w:lang w:val="fr-FR"/>
              </w:rPr>
            </w:pPr>
          </w:p>
        </w:tc>
        <w:tc>
          <w:tcPr>
            <w:tcW w:w="2500" w:type="pct"/>
          </w:tcPr>
          <w:p w14:paraId="5D21952D" w14:textId="77777777" w:rsidR="00417FAE" w:rsidRPr="00E2076F" w:rsidRDefault="00417FAE" w:rsidP="00417FAE">
            <w:pPr>
              <w:pStyle w:val="AONormal"/>
              <w:widowControl w:val="0"/>
              <w:rPr>
                <w:lang w:val="es-ES"/>
              </w:rPr>
            </w:pPr>
          </w:p>
        </w:tc>
      </w:tr>
      <w:tr w:rsidR="00417FAE" w:rsidRPr="00417FAE" w14:paraId="62C26AC9" w14:textId="77777777" w:rsidTr="00B53048">
        <w:tc>
          <w:tcPr>
            <w:tcW w:w="2500" w:type="pct"/>
          </w:tcPr>
          <w:p w14:paraId="25F0DAC6" w14:textId="77777777" w:rsidR="00417FAE" w:rsidRPr="00E71E01" w:rsidRDefault="00417FAE" w:rsidP="00417FAE">
            <w:pPr>
              <w:pStyle w:val="AODocTxt"/>
              <w:numPr>
                <w:ilvl w:val="0"/>
                <w:numId w:val="0"/>
              </w:numPr>
              <w:rPr>
                <w:b/>
                <w:lang w:val="es-ES"/>
              </w:rPr>
            </w:pPr>
          </w:p>
          <w:p w14:paraId="2405AE4B" w14:textId="77777777" w:rsidR="00417FAE" w:rsidRPr="009D6A43" w:rsidRDefault="00417FAE" w:rsidP="00417FAE">
            <w:pPr>
              <w:pStyle w:val="AONormal"/>
              <w:widowControl w:val="0"/>
              <w:rPr>
                <w:u w:val="single"/>
                <w:lang w:val="fr-FR"/>
              </w:rPr>
            </w:pPr>
            <w:r w:rsidRPr="009D6A43">
              <w:rPr>
                <w:u w:val="single"/>
                <w:lang w:val="fr-FR"/>
              </w:rPr>
              <w:tab/>
            </w:r>
            <w:r w:rsidRPr="009D6A43">
              <w:rPr>
                <w:u w:val="single"/>
                <w:lang w:val="fr-FR"/>
              </w:rPr>
              <w:tab/>
            </w:r>
            <w:r w:rsidRPr="009D6A43">
              <w:rPr>
                <w:u w:val="single"/>
                <w:lang w:val="fr-FR"/>
              </w:rPr>
              <w:tab/>
            </w:r>
            <w:r w:rsidRPr="009D6A43">
              <w:rPr>
                <w:u w:val="single"/>
                <w:lang w:val="fr-FR"/>
              </w:rPr>
              <w:tab/>
            </w:r>
            <w:r w:rsidRPr="009D6A43">
              <w:rPr>
                <w:u w:val="single"/>
                <w:lang w:val="fr-FR"/>
              </w:rPr>
              <w:tab/>
            </w:r>
            <w:r w:rsidRPr="009D6A43">
              <w:rPr>
                <w:u w:val="single"/>
                <w:lang w:val="fr-FR"/>
              </w:rPr>
              <w:tab/>
            </w:r>
          </w:p>
          <w:p w14:paraId="6D53C3C2" w14:textId="716EF337" w:rsidR="00417FAE" w:rsidRPr="00E2076F" w:rsidRDefault="00417FAE" w:rsidP="00417FAE">
            <w:pPr>
              <w:pStyle w:val="AONormal"/>
              <w:widowControl w:val="0"/>
              <w:rPr>
                <w:lang w:val="es-ES"/>
              </w:rPr>
            </w:pPr>
            <w:r w:rsidRPr="00E2076F">
              <w:rPr>
                <w:bCs/>
                <w:lang w:val="es-ES"/>
              </w:rPr>
              <w:t xml:space="preserve">P.p. </w:t>
            </w:r>
            <w:r>
              <w:rPr>
                <w:lang w:val="es-ES"/>
              </w:rPr>
              <w:t>[</w:t>
            </w:r>
            <w:r>
              <w:rPr>
                <w:lang w:val="es-ES"/>
              </w:rPr>
              <w:sym w:font="Wingdings" w:char="F06C"/>
            </w:r>
            <w:r>
              <w:rPr>
                <w:lang w:val="es-ES"/>
              </w:rPr>
              <w:t>]</w:t>
            </w:r>
          </w:p>
        </w:tc>
        <w:tc>
          <w:tcPr>
            <w:tcW w:w="2500" w:type="pct"/>
          </w:tcPr>
          <w:p w14:paraId="4189E928" w14:textId="77777777" w:rsidR="00417FAE" w:rsidRPr="00E2076F" w:rsidRDefault="00417FAE" w:rsidP="00417FAE">
            <w:pPr>
              <w:pStyle w:val="AONormal"/>
              <w:widowControl w:val="0"/>
              <w:rPr>
                <w:lang w:val="es-ES"/>
              </w:rPr>
            </w:pPr>
          </w:p>
        </w:tc>
      </w:tr>
      <w:tr w:rsidR="00417FAE" w:rsidRPr="00CD7F22" w14:paraId="7C5EE5A0" w14:textId="77777777" w:rsidTr="00B53048">
        <w:tc>
          <w:tcPr>
            <w:tcW w:w="2500" w:type="pct"/>
            <w:shd w:val="clear" w:color="auto" w:fill="auto"/>
            <w:hideMark/>
          </w:tcPr>
          <w:p w14:paraId="10412083" w14:textId="77777777" w:rsidR="00417FAE" w:rsidRPr="008A53C1" w:rsidRDefault="00417FAE" w:rsidP="00417FAE">
            <w:pPr>
              <w:pStyle w:val="AODocTxt"/>
              <w:widowControl w:val="0"/>
              <w:rPr>
                <w:b/>
                <w:lang w:val="es-ES"/>
              </w:rPr>
            </w:pPr>
            <w:r w:rsidRPr="002C0952">
              <w:rPr>
                <w:b/>
                <w:lang w:val="es-ES"/>
              </w:rPr>
              <w:t xml:space="preserve">Las Partes Garantizadas / The </w:t>
            </w:r>
            <w:proofErr w:type="spellStart"/>
            <w:r w:rsidRPr="002C0952">
              <w:rPr>
                <w:b/>
                <w:lang w:val="es-ES"/>
              </w:rPr>
              <w:t>Secured</w:t>
            </w:r>
            <w:proofErr w:type="spellEnd"/>
            <w:r w:rsidRPr="002C0952">
              <w:rPr>
                <w:b/>
                <w:lang w:val="es-ES"/>
              </w:rPr>
              <w:t xml:space="preserve"> </w:t>
            </w:r>
            <w:proofErr w:type="spellStart"/>
            <w:r w:rsidRPr="002C0952">
              <w:rPr>
                <w:b/>
                <w:lang w:val="es-ES"/>
              </w:rPr>
              <w:t>Part</w:t>
            </w:r>
            <w:r>
              <w:rPr>
                <w:b/>
                <w:lang w:val="es-ES"/>
              </w:rPr>
              <w:t>ies</w:t>
            </w:r>
            <w:proofErr w:type="spellEnd"/>
          </w:p>
        </w:tc>
        <w:tc>
          <w:tcPr>
            <w:tcW w:w="2500" w:type="pct"/>
          </w:tcPr>
          <w:p w14:paraId="2D8903AE" w14:textId="77777777" w:rsidR="00417FAE" w:rsidRPr="008A53C1" w:rsidRDefault="00417FAE" w:rsidP="00417FAE">
            <w:pPr>
              <w:pStyle w:val="AODocTxt"/>
              <w:widowControl w:val="0"/>
              <w:rPr>
                <w:b/>
                <w:lang w:val="es-ES"/>
              </w:rPr>
            </w:pPr>
          </w:p>
        </w:tc>
      </w:tr>
      <w:tr w:rsidR="00417FAE" w:rsidRPr="00CD7F22" w14:paraId="0573647A" w14:textId="77777777" w:rsidTr="00E57898">
        <w:tc>
          <w:tcPr>
            <w:tcW w:w="5000" w:type="pct"/>
            <w:gridSpan w:val="2"/>
            <w:shd w:val="clear" w:color="auto" w:fill="auto"/>
          </w:tcPr>
          <w:p w14:paraId="5F9C2CE6" w14:textId="77777777" w:rsidR="00417FAE" w:rsidRPr="00E81EBD" w:rsidRDefault="00417FAE" w:rsidP="00417FAE">
            <w:pPr>
              <w:pStyle w:val="AODocTxt"/>
              <w:widowControl w:val="0"/>
              <w:rPr>
                <w:b/>
                <w:lang w:val="es-ES"/>
              </w:rPr>
            </w:pPr>
            <w:r w:rsidRPr="00E81EBD">
              <w:rPr>
                <w:b/>
                <w:lang w:val="es-ES"/>
              </w:rPr>
              <w:t xml:space="preserve">El Agente de Garantías, en su propio nombre y en nombre y representación de las Partes Garantizadas identificadas en la presente Póliza/The Security Trustee, in its </w:t>
            </w:r>
            <w:proofErr w:type="spellStart"/>
            <w:r w:rsidRPr="00E81EBD">
              <w:rPr>
                <w:b/>
                <w:lang w:val="es-ES"/>
              </w:rPr>
              <w:t>own</w:t>
            </w:r>
            <w:proofErr w:type="spellEnd"/>
            <w:r w:rsidRPr="00E81EBD">
              <w:rPr>
                <w:b/>
                <w:lang w:val="es-ES"/>
              </w:rPr>
              <w:t xml:space="preserve"> </w:t>
            </w:r>
            <w:proofErr w:type="spellStart"/>
            <w:r w:rsidRPr="00E81EBD">
              <w:rPr>
                <w:b/>
                <w:lang w:val="es-ES"/>
              </w:rPr>
              <w:t>name</w:t>
            </w:r>
            <w:proofErr w:type="spellEnd"/>
            <w:r w:rsidRPr="00E81EBD">
              <w:rPr>
                <w:b/>
                <w:lang w:val="es-ES"/>
              </w:rPr>
              <w:t xml:space="preserve"> and in </w:t>
            </w:r>
            <w:proofErr w:type="spellStart"/>
            <w:r w:rsidRPr="00E81EBD">
              <w:rPr>
                <w:b/>
                <w:lang w:val="es-ES"/>
              </w:rPr>
              <w:t>the</w:t>
            </w:r>
            <w:proofErr w:type="spellEnd"/>
            <w:r w:rsidRPr="00E81EBD">
              <w:rPr>
                <w:b/>
                <w:lang w:val="es-ES"/>
              </w:rPr>
              <w:t xml:space="preserve"> </w:t>
            </w:r>
            <w:proofErr w:type="spellStart"/>
            <w:r w:rsidRPr="00E81EBD">
              <w:rPr>
                <w:b/>
                <w:lang w:val="es-ES"/>
              </w:rPr>
              <w:t>name</w:t>
            </w:r>
            <w:proofErr w:type="spellEnd"/>
            <w:r w:rsidRPr="00E81EBD">
              <w:rPr>
                <w:b/>
                <w:lang w:val="es-ES"/>
              </w:rPr>
              <w:t xml:space="preserve"> and on behalf of </w:t>
            </w:r>
            <w:proofErr w:type="spellStart"/>
            <w:r w:rsidRPr="00E81EBD">
              <w:rPr>
                <w:b/>
                <w:lang w:val="es-ES"/>
              </w:rPr>
              <w:t>the</w:t>
            </w:r>
            <w:proofErr w:type="spellEnd"/>
            <w:r w:rsidRPr="00E81EBD">
              <w:rPr>
                <w:b/>
                <w:lang w:val="es-ES"/>
              </w:rPr>
              <w:t xml:space="preserve"> </w:t>
            </w:r>
            <w:proofErr w:type="spellStart"/>
            <w:r w:rsidRPr="00E81EBD">
              <w:rPr>
                <w:b/>
                <w:lang w:val="es-ES"/>
              </w:rPr>
              <w:t>Secured</w:t>
            </w:r>
            <w:proofErr w:type="spellEnd"/>
            <w:r w:rsidRPr="00E81EBD">
              <w:rPr>
                <w:b/>
                <w:lang w:val="es-ES"/>
              </w:rPr>
              <w:t xml:space="preserve"> </w:t>
            </w:r>
            <w:proofErr w:type="spellStart"/>
            <w:r w:rsidRPr="00E81EBD">
              <w:rPr>
                <w:b/>
                <w:lang w:val="es-ES"/>
              </w:rPr>
              <w:t>Parties</w:t>
            </w:r>
            <w:proofErr w:type="spellEnd"/>
            <w:r w:rsidRPr="00E81EBD">
              <w:rPr>
                <w:b/>
                <w:lang w:val="es-ES"/>
              </w:rPr>
              <w:t xml:space="preserve"> </w:t>
            </w:r>
            <w:proofErr w:type="spellStart"/>
            <w:r w:rsidRPr="00E81EBD">
              <w:rPr>
                <w:b/>
                <w:lang w:val="es-ES"/>
              </w:rPr>
              <w:t>identified</w:t>
            </w:r>
            <w:proofErr w:type="spellEnd"/>
            <w:r w:rsidRPr="00E81EBD">
              <w:rPr>
                <w:b/>
                <w:lang w:val="es-ES"/>
              </w:rPr>
              <w:t xml:space="preserve"> as </w:t>
            </w:r>
            <w:proofErr w:type="spellStart"/>
            <w:r w:rsidRPr="00E81EBD">
              <w:rPr>
                <w:b/>
                <w:lang w:val="es-ES"/>
              </w:rPr>
              <w:t>such</w:t>
            </w:r>
            <w:proofErr w:type="spellEnd"/>
            <w:r w:rsidRPr="00E81EBD">
              <w:rPr>
                <w:b/>
                <w:lang w:val="es-ES"/>
              </w:rPr>
              <w:t xml:space="preserve"> </w:t>
            </w:r>
            <w:proofErr w:type="spellStart"/>
            <w:r w:rsidRPr="00E81EBD">
              <w:rPr>
                <w:b/>
                <w:lang w:val="es-ES"/>
              </w:rPr>
              <w:t>under</w:t>
            </w:r>
            <w:proofErr w:type="spellEnd"/>
            <w:r w:rsidRPr="00E81EBD">
              <w:rPr>
                <w:b/>
                <w:lang w:val="es-ES"/>
              </w:rPr>
              <w:t xml:space="preserve"> </w:t>
            </w:r>
            <w:proofErr w:type="spellStart"/>
            <w:r w:rsidRPr="00E81EBD">
              <w:rPr>
                <w:b/>
                <w:lang w:val="es-ES"/>
              </w:rPr>
              <w:t>this</w:t>
            </w:r>
            <w:proofErr w:type="spellEnd"/>
            <w:r w:rsidRPr="00E81EBD">
              <w:rPr>
                <w:b/>
                <w:lang w:val="es-ES"/>
              </w:rPr>
              <w:t xml:space="preserve"> </w:t>
            </w:r>
            <w:proofErr w:type="spellStart"/>
            <w:r w:rsidRPr="00E81EBD">
              <w:rPr>
                <w:b/>
                <w:lang w:val="es-ES"/>
              </w:rPr>
              <w:t>Deed</w:t>
            </w:r>
            <w:proofErr w:type="spellEnd"/>
          </w:p>
        </w:tc>
      </w:tr>
      <w:tr w:rsidR="00417FAE" w:rsidRPr="007163F1" w14:paraId="21924880" w14:textId="77777777" w:rsidTr="00E57898">
        <w:tc>
          <w:tcPr>
            <w:tcW w:w="5000" w:type="pct"/>
            <w:gridSpan w:val="2"/>
            <w:shd w:val="clear" w:color="auto" w:fill="auto"/>
          </w:tcPr>
          <w:p w14:paraId="36E24588" w14:textId="77777777" w:rsidR="00417FAE" w:rsidRPr="00E57898" w:rsidRDefault="00417FAE" w:rsidP="00417FAE">
            <w:pPr>
              <w:pStyle w:val="AODocTxt"/>
              <w:widowControl w:val="0"/>
              <w:rPr>
                <w:b/>
                <w:lang w:val="es-ES"/>
              </w:rPr>
            </w:pPr>
            <w:r w:rsidRPr="00E57898">
              <w:rPr>
                <w:b/>
                <w:lang w:val="es-ES"/>
              </w:rPr>
              <w:t xml:space="preserve">ING BANK </w:t>
            </w:r>
            <w:proofErr w:type="gramStart"/>
            <w:r w:rsidRPr="00E57898">
              <w:rPr>
                <w:b/>
                <w:lang w:val="es-ES"/>
              </w:rPr>
              <w:t>N.V</w:t>
            </w:r>
            <w:proofErr w:type="gramEnd"/>
          </w:p>
        </w:tc>
      </w:tr>
      <w:tr w:rsidR="00417FAE" w:rsidRPr="00BE4B3B" w14:paraId="3C2E834F" w14:textId="77777777" w:rsidTr="00B53048">
        <w:tc>
          <w:tcPr>
            <w:tcW w:w="2500" w:type="pct"/>
            <w:shd w:val="clear" w:color="auto" w:fill="auto"/>
            <w:hideMark/>
          </w:tcPr>
          <w:p w14:paraId="03F42507" w14:textId="77777777" w:rsidR="00417FAE" w:rsidRPr="00413F1B" w:rsidRDefault="00417FAE" w:rsidP="00417FAE">
            <w:pPr>
              <w:pStyle w:val="AONormal"/>
              <w:widowControl w:val="0"/>
              <w:rPr>
                <w:lang w:val="es-ES"/>
              </w:rPr>
            </w:pPr>
          </w:p>
          <w:p w14:paraId="483D3ECE" w14:textId="77777777" w:rsidR="00417FAE" w:rsidRPr="00413F1B" w:rsidRDefault="00417FAE" w:rsidP="00417FAE">
            <w:pPr>
              <w:pStyle w:val="AONormal"/>
              <w:widowControl w:val="0"/>
              <w:rPr>
                <w:lang w:val="es-ES"/>
              </w:rPr>
            </w:pPr>
          </w:p>
          <w:p w14:paraId="709F46B1" w14:textId="77777777" w:rsidR="00417FAE" w:rsidRPr="00413F1B" w:rsidRDefault="00417FAE" w:rsidP="00417FAE">
            <w:pPr>
              <w:pStyle w:val="AONormal"/>
              <w:widowControl w:val="0"/>
              <w:rPr>
                <w:lang w:val="es-ES"/>
              </w:rPr>
            </w:pPr>
          </w:p>
          <w:p w14:paraId="2967D6AF" w14:textId="77777777" w:rsidR="00417FAE" w:rsidRPr="00413F1B" w:rsidRDefault="00417FAE" w:rsidP="00417FAE">
            <w:pPr>
              <w:pStyle w:val="AONormal"/>
              <w:widowControl w:val="0"/>
              <w:rPr>
                <w:u w:val="single"/>
                <w:lang w:val="es-ES"/>
              </w:rPr>
            </w:pPr>
            <w:r w:rsidRPr="00413F1B">
              <w:rPr>
                <w:u w:val="single"/>
                <w:lang w:val="es-ES"/>
              </w:rPr>
              <w:tab/>
            </w:r>
            <w:r w:rsidRPr="00413F1B">
              <w:rPr>
                <w:u w:val="single"/>
                <w:lang w:val="es-ES"/>
              </w:rPr>
              <w:tab/>
            </w:r>
            <w:r w:rsidRPr="00413F1B">
              <w:rPr>
                <w:u w:val="single"/>
                <w:lang w:val="es-ES"/>
              </w:rPr>
              <w:tab/>
            </w:r>
            <w:r w:rsidRPr="00413F1B">
              <w:rPr>
                <w:u w:val="single"/>
                <w:lang w:val="es-ES"/>
              </w:rPr>
              <w:tab/>
            </w:r>
            <w:r w:rsidRPr="00413F1B">
              <w:rPr>
                <w:u w:val="single"/>
                <w:lang w:val="es-ES"/>
              </w:rPr>
              <w:tab/>
            </w:r>
            <w:r w:rsidRPr="00413F1B">
              <w:rPr>
                <w:u w:val="single"/>
                <w:lang w:val="es-ES"/>
              </w:rPr>
              <w:tab/>
            </w:r>
          </w:p>
          <w:p w14:paraId="0FA3BE16" w14:textId="2ECAB8EA" w:rsidR="00417FAE" w:rsidRPr="002C0952" w:rsidRDefault="00417FAE" w:rsidP="00417FAE">
            <w:pPr>
              <w:pStyle w:val="AONormal"/>
              <w:widowControl w:val="0"/>
              <w:rPr>
                <w:lang w:val="es-ES"/>
              </w:rPr>
            </w:pPr>
            <w:r w:rsidRPr="002C0952">
              <w:rPr>
                <w:lang w:val="es-ES"/>
              </w:rPr>
              <w:t xml:space="preserve">P.p. </w:t>
            </w:r>
            <w:r>
              <w:rPr>
                <w:lang w:val="es-ES"/>
              </w:rPr>
              <w:t>[</w:t>
            </w:r>
            <w:r>
              <w:rPr>
                <w:lang w:val="es-ES"/>
              </w:rPr>
              <w:sym w:font="Wingdings" w:char="F06C"/>
            </w:r>
            <w:r>
              <w:rPr>
                <w:lang w:val="es-ES"/>
              </w:rPr>
              <w:t>]</w:t>
            </w:r>
          </w:p>
        </w:tc>
        <w:tc>
          <w:tcPr>
            <w:tcW w:w="2500" w:type="pct"/>
          </w:tcPr>
          <w:p w14:paraId="17C0028C" w14:textId="77777777" w:rsidR="00417FAE" w:rsidRPr="002C0952" w:rsidRDefault="00417FAE" w:rsidP="00417FAE">
            <w:pPr>
              <w:pStyle w:val="AONormal"/>
              <w:widowControl w:val="0"/>
              <w:rPr>
                <w:lang w:val="es-ES"/>
              </w:rPr>
            </w:pPr>
          </w:p>
        </w:tc>
      </w:tr>
      <w:tr w:rsidR="00417FAE" w:rsidRPr="00E57898" w14:paraId="727ADF09" w14:textId="77777777" w:rsidTr="00E57898">
        <w:tc>
          <w:tcPr>
            <w:tcW w:w="5000" w:type="pct"/>
            <w:gridSpan w:val="2"/>
            <w:shd w:val="clear" w:color="auto" w:fill="auto"/>
          </w:tcPr>
          <w:p w14:paraId="5F704E5B" w14:textId="77777777" w:rsidR="00417FAE" w:rsidRPr="00D5782D" w:rsidRDefault="00417FAE" w:rsidP="00417FAE">
            <w:pPr>
              <w:pStyle w:val="AODocTxt"/>
              <w:rPr>
                <w:b/>
              </w:rPr>
            </w:pPr>
            <w:r w:rsidRPr="00413F1B">
              <w:rPr>
                <w:b/>
              </w:rPr>
              <w:t xml:space="preserve">El </w:t>
            </w:r>
            <w:proofErr w:type="spellStart"/>
            <w:r w:rsidRPr="00413F1B">
              <w:rPr>
                <w:b/>
              </w:rPr>
              <w:t>Agente</w:t>
            </w:r>
            <w:proofErr w:type="spellEnd"/>
            <w:r w:rsidRPr="00413F1B">
              <w:rPr>
                <w:b/>
              </w:rPr>
              <w:t xml:space="preserve"> de </w:t>
            </w:r>
            <w:proofErr w:type="spellStart"/>
            <w:r w:rsidRPr="00413F1B">
              <w:rPr>
                <w:b/>
              </w:rPr>
              <w:t>Garantías</w:t>
            </w:r>
            <w:proofErr w:type="spellEnd"/>
            <w:r w:rsidRPr="00413F1B">
              <w:rPr>
                <w:b/>
              </w:rPr>
              <w:t xml:space="preserve">, </w:t>
            </w:r>
            <w:proofErr w:type="spellStart"/>
            <w:r w:rsidRPr="00413F1B">
              <w:rPr>
                <w:b/>
              </w:rPr>
              <w:t>el</w:t>
            </w:r>
            <w:proofErr w:type="spellEnd"/>
            <w:r w:rsidRPr="00413F1B">
              <w:rPr>
                <w:b/>
              </w:rPr>
              <w:t xml:space="preserve"> </w:t>
            </w:r>
            <w:proofErr w:type="spellStart"/>
            <w:r w:rsidRPr="00413F1B">
              <w:rPr>
                <w:b/>
              </w:rPr>
              <w:t>Agente</w:t>
            </w:r>
            <w:proofErr w:type="spellEnd"/>
            <w:r w:rsidRPr="00413F1B">
              <w:rPr>
                <w:b/>
              </w:rPr>
              <w:t xml:space="preserve"> </w:t>
            </w:r>
            <w:proofErr w:type="spellStart"/>
            <w:r w:rsidRPr="00413F1B">
              <w:rPr>
                <w:b/>
              </w:rPr>
              <w:t>Inicial</w:t>
            </w:r>
            <w:proofErr w:type="spellEnd"/>
            <w:r w:rsidRPr="00413F1B">
              <w:rPr>
                <w:b/>
              </w:rPr>
              <w:t xml:space="preserve"> ACF, </w:t>
            </w:r>
            <w:proofErr w:type="spellStart"/>
            <w:r w:rsidRPr="00413F1B">
              <w:rPr>
                <w:b/>
              </w:rPr>
              <w:t>el</w:t>
            </w:r>
            <w:proofErr w:type="spellEnd"/>
            <w:r w:rsidRPr="00413F1B">
              <w:rPr>
                <w:b/>
              </w:rPr>
              <w:t xml:space="preserve"> </w:t>
            </w:r>
            <w:proofErr w:type="spellStart"/>
            <w:r w:rsidRPr="00413F1B">
              <w:rPr>
                <w:b/>
              </w:rPr>
              <w:t>Agente</w:t>
            </w:r>
            <w:proofErr w:type="spellEnd"/>
            <w:r w:rsidRPr="00413F1B">
              <w:rPr>
                <w:b/>
              </w:rPr>
              <w:t xml:space="preserve"> </w:t>
            </w:r>
            <w:proofErr w:type="spellStart"/>
            <w:r w:rsidRPr="00413F1B">
              <w:rPr>
                <w:b/>
              </w:rPr>
              <w:t>Inicial</w:t>
            </w:r>
            <w:proofErr w:type="spellEnd"/>
            <w:r w:rsidRPr="00413F1B">
              <w:rPr>
                <w:b/>
              </w:rPr>
              <w:t xml:space="preserve"> MRF, </w:t>
            </w:r>
            <w:proofErr w:type="spellStart"/>
            <w:r w:rsidRPr="00413F1B">
              <w:rPr>
                <w:b/>
              </w:rPr>
              <w:t>el</w:t>
            </w:r>
            <w:proofErr w:type="spellEnd"/>
            <w:r w:rsidRPr="00413F1B">
              <w:rPr>
                <w:b/>
              </w:rPr>
              <w:t xml:space="preserve"> </w:t>
            </w:r>
            <w:proofErr w:type="spellStart"/>
            <w:r w:rsidRPr="00413F1B">
              <w:rPr>
                <w:b/>
              </w:rPr>
              <w:t>Agente</w:t>
            </w:r>
            <w:proofErr w:type="spellEnd"/>
            <w:r w:rsidRPr="00413F1B">
              <w:rPr>
                <w:b/>
              </w:rPr>
              <w:t xml:space="preserve"> </w:t>
            </w:r>
            <w:proofErr w:type="spellStart"/>
            <w:r w:rsidRPr="00413F1B">
              <w:rPr>
                <w:b/>
              </w:rPr>
              <w:t>Inicial</w:t>
            </w:r>
            <w:proofErr w:type="spellEnd"/>
            <w:r w:rsidRPr="00413F1B">
              <w:rPr>
                <w:b/>
              </w:rPr>
              <w:t xml:space="preserve"> LF/The Security Trustee, the </w:t>
            </w:r>
            <w:proofErr w:type="spellStart"/>
            <w:r w:rsidRPr="00413F1B">
              <w:rPr>
                <w:b/>
              </w:rPr>
              <w:t>Inicial</w:t>
            </w:r>
            <w:proofErr w:type="spellEnd"/>
            <w:r w:rsidRPr="00413F1B">
              <w:rPr>
                <w:b/>
              </w:rPr>
              <w:t xml:space="preserve"> </w:t>
            </w:r>
            <w:r w:rsidRPr="00D5782D">
              <w:rPr>
                <w:b/>
              </w:rPr>
              <w:t xml:space="preserve">ACF Agent, the Initial MRF Agent, the </w:t>
            </w:r>
            <w:proofErr w:type="spellStart"/>
            <w:r w:rsidRPr="00D5782D">
              <w:rPr>
                <w:b/>
              </w:rPr>
              <w:t>Inicial</w:t>
            </w:r>
            <w:proofErr w:type="spellEnd"/>
            <w:r w:rsidRPr="00D5782D">
              <w:rPr>
                <w:b/>
              </w:rPr>
              <w:t xml:space="preserve"> LF Agent and the Initial Note Agent</w:t>
            </w:r>
          </w:p>
        </w:tc>
      </w:tr>
      <w:tr w:rsidR="00417FAE" w:rsidRPr="00E57898" w14:paraId="0620F3C0" w14:textId="77777777" w:rsidTr="00E57898">
        <w:tc>
          <w:tcPr>
            <w:tcW w:w="5000" w:type="pct"/>
            <w:gridSpan w:val="2"/>
            <w:shd w:val="clear" w:color="auto" w:fill="auto"/>
          </w:tcPr>
          <w:p w14:paraId="6ECB3E46" w14:textId="77777777" w:rsidR="00417FAE" w:rsidRPr="00D5782D" w:rsidRDefault="00417FAE" w:rsidP="00417FAE">
            <w:pPr>
              <w:pStyle w:val="AODocTxt"/>
              <w:rPr>
                <w:b/>
              </w:rPr>
            </w:pPr>
            <w:r w:rsidRPr="00E57898">
              <w:rPr>
                <w:b/>
                <w:lang w:val="es-ES"/>
              </w:rPr>
              <w:t xml:space="preserve">ING BANK </w:t>
            </w:r>
            <w:proofErr w:type="gramStart"/>
            <w:r w:rsidRPr="00E57898">
              <w:rPr>
                <w:b/>
                <w:lang w:val="es-ES"/>
              </w:rPr>
              <w:t>N.V</w:t>
            </w:r>
            <w:proofErr w:type="gramEnd"/>
          </w:p>
        </w:tc>
      </w:tr>
      <w:tr w:rsidR="00417FAE" w:rsidRPr="00BE4B3B" w14:paraId="6E61253A" w14:textId="77777777" w:rsidTr="00E57898">
        <w:tc>
          <w:tcPr>
            <w:tcW w:w="5000" w:type="pct"/>
            <w:gridSpan w:val="2"/>
            <w:shd w:val="clear" w:color="auto" w:fill="auto"/>
          </w:tcPr>
          <w:p w14:paraId="3933CB04" w14:textId="77777777" w:rsidR="00417FAE" w:rsidRPr="00413F1B" w:rsidRDefault="00417FAE" w:rsidP="00417FAE">
            <w:pPr>
              <w:pStyle w:val="AONormal"/>
              <w:widowControl w:val="0"/>
              <w:rPr>
                <w:b/>
                <w:lang w:val="es-ES"/>
              </w:rPr>
            </w:pPr>
          </w:p>
          <w:p w14:paraId="1300301F" w14:textId="77777777" w:rsidR="00417FAE" w:rsidRPr="00413F1B" w:rsidRDefault="00417FAE" w:rsidP="00417FAE">
            <w:pPr>
              <w:pStyle w:val="AONormal"/>
              <w:widowControl w:val="0"/>
              <w:rPr>
                <w:b/>
                <w:lang w:val="es-ES"/>
              </w:rPr>
            </w:pPr>
          </w:p>
          <w:p w14:paraId="0942DCAC" w14:textId="77777777" w:rsidR="00417FAE" w:rsidRPr="00413F1B" w:rsidRDefault="00417FAE" w:rsidP="00417FAE">
            <w:pPr>
              <w:pStyle w:val="AONormal"/>
              <w:widowControl w:val="0"/>
              <w:rPr>
                <w:b/>
                <w:lang w:val="es-ES"/>
              </w:rPr>
            </w:pPr>
          </w:p>
          <w:p w14:paraId="651869EE" w14:textId="77777777" w:rsidR="00417FAE" w:rsidRPr="00413F1B" w:rsidRDefault="00417FAE" w:rsidP="00417FAE">
            <w:pPr>
              <w:pStyle w:val="AONormal"/>
              <w:widowControl w:val="0"/>
              <w:rPr>
                <w:u w:val="single"/>
                <w:lang w:val="es-ES"/>
              </w:rPr>
            </w:pPr>
            <w:r w:rsidRPr="00413F1B">
              <w:rPr>
                <w:u w:val="single"/>
                <w:lang w:val="es-ES"/>
              </w:rPr>
              <w:tab/>
            </w:r>
            <w:r w:rsidRPr="00413F1B">
              <w:rPr>
                <w:u w:val="single"/>
                <w:lang w:val="es-ES"/>
              </w:rPr>
              <w:tab/>
            </w:r>
            <w:r w:rsidRPr="00413F1B">
              <w:rPr>
                <w:u w:val="single"/>
                <w:lang w:val="es-ES"/>
              </w:rPr>
              <w:tab/>
            </w:r>
            <w:r w:rsidRPr="00413F1B">
              <w:rPr>
                <w:u w:val="single"/>
                <w:lang w:val="es-ES"/>
              </w:rPr>
              <w:tab/>
            </w:r>
            <w:r w:rsidRPr="00413F1B">
              <w:rPr>
                <w:u w:val="single"/>
                <w:lang w:val="es-ES"/>
              </w:rPr>
              <w:tab/>
            </w:r>
            <w:r w:rsidRPr="00413F1B">
              <w:rPr>
                <w:u w:val="single"/>
                <w:lang w:val="es-ES"/>
              </w:rPr>
              <w:tab/>
            </w:r>
          </w:p>
          <w:p w14:paraId="74A4B92F" w14:textId="4693392B" w:rsidR="00417FAE" w:rsidRPr="00E2076F" w:rsidRDefault="00417FAE" w:rsidP="00417FAE">
            <w:pPr>
              <w:pStyle w:val="AONormal"/>
              <w:widowControl w:val="0"/>
              <w:rPr>
                <w:u w:val="single"/>
                <w:lang w:val="es-ES"/>
              </w:rPr>
            </w:pPr>
            <w:r w:rsidRPr="00E2076F">
              <w:rPr>
                <w:lang w:val="es-ES"/>
              </w:rPr>
              <w:t xml:space="preserve">P.p. </w:t>
            </w:r>
            <w:r>
              <w:rPr>
                <w:lang w:val="es-ES"/>
              </w:rPr>
              <w:t>[</w:t>
            </w:r>
            <w:r>
              <w:rPr>
                <w:lang w:val="es-ES"/>
              </w:rPr>
              <w:sym w:font="Wingdings" w:char="F06C"/>
            </w:r>
            <w:r>
              <w:rPr>
                <w:lang w:val="es-ES"/>
              </w:rPr>
              <w:t>]</w:t>
            </w:r>
          </w:p>
        </w:tc>
      </w:tr>
    </w:tbl>
    <w:p w14:paraId="1DAAD480" w14:textId="77777777" w:rsidR="00E2076F" w:rsidRPr="00E2076F" w:rsidRDefault="00E2076F">
      <w:pPr>
        <w:rPr>
          <w:lang w:val="es-ES"/>
        </w:rPr>
      </w:pPr>
      <w:r w:rsidRPr="00E2076F">
        <w:rPr>
          <w:lang w:val="es-ES"/>
        </w:rPr>
        <w:br w:type="page"/>
      </w:r>
    </w:p>
    <w:tbl>
      <w:tblPr>
        <w:tblW w:w="5014" w:type="pct"/>
        <w:tblInd w:w="-27" w:type="dxa"/>
        <w:tblCellMar>
          <w:left w:w="115" w:type="dxa"/>
          <w:right w:w="115" w:type="dxa"/>
        </w:tblCellMar>
        <w:tblLook w:val="01E0" w:firstRow="1" w:lastRow="1" w:firstColumn="1" w:lastColumn="1" w:noHBand="0" w:noVBand="0"/>
      </w:tblPr>
      <w:tblGrid>
        <w:gridCol w:w="4832"/>
        <w:gridCol w:w="4833"/>
      </w:tblGrid>
      <w:tr w:rsidR="00E57898" w:rsidRPr="00F70455" w14:paraId="2357DCE9" w14:textId="77777777" w:rsidTr="00B53048">
        <w:tc>
          <w:tcPr>
            <w:tcW w:w="5000" w:type="pct"/>
            <w:gridSpan w:val="2"/>
            <w:shd w:val="clear" w:color="auto" w:fill="auto"/>
          </w:tcPr>
          <w:p w14:paraId="1FDE044E" w14:textId="50A3240D" w:rsidR="00E57898" w:rsidRPr="008A53C1" w:rsidRDefault="00E57898" w:rsidP="00E57898">
            <w:pPr>
              <w:pStyle w:val="AODocTxt"/>
              <w:widowControl w:val="0"/>
              <w:rPr>
                <w:b/>
                <w:lang w:val="es-ES"/>
              </w:rPr>
            </w:pPr>
            <w:r w:rsidRPr="008A53C1">
              <w:rPr>
                <w:b/>
                <w:lang w:val="es-ES"/>
              </w:rPr>
              <w:lastRenderedPageBreak/>
              <w:t xml:space="preserve">La </w:t>
            </w:r>
            <w:r>
              <w:rPr>
                <w:b/>
                <w:lang w:val="es-ES"/>
              </w:rPr>
              <w:t xml:space="preserve">Sociedad </w:t>
            </w:r>
            <w:r w:rsidRPr="008A53C1">
              <w:rPr>
                <w:b/>
                <w:lang w:val="es-ES"/>
              </w:rPr>
              <w:t xml:space="preserve">/ The </w:t>
            </w:r>
            <w:r>
              <w:rPr>
                <w:b/>
                <w:lang w:val="es-ES"/>
              </w:rPr>
              <w:t>Company</w:t>
            </w:r>
          </w:p>
        </w:tc>
      </w:tr>
      <w:tr w:rsidR="00E57898" w:rsidRPr="00FC0066" w14:paraId="28344087" w14:textId="77777777" w:rsidTr="00B53048">
        <w:tc>
          <w:tcPr>
            <w:tcW w:w="2500" w:type="pct"/>
            <w:shd w:val="clear" w:color="auto" w:fill="auto"/>
            <w:hideMark/>
          </w:tcPr>
          <w:p w14:paraId="7CC28F70" w14:textId="77777777" w:rsidR="00E57898" w:rsidRPr="00423C5E" w:rsidRDefault="00E57898" w:rsidP="00E57898">
            <w:pPr>
              <w:pStyle w:val="AODocTxt"/>
              <w:widowControl w:val="0"/>
              <w:rPr>
                <w:b/>
              </w:rPr>
            </w:pPr>
            <w:r>
              <w:rPr>
                <w:b/>
              </w:rPr>
              <w:t>BEACON RAIL FINANCE IBERIA S.L.U.</w:t>
            </w:r>
            <w:r w:rsidRPr="00CC3FBB" w:rsidDel="008F301B">
              <w:rPr>
                <w:b/>
              </w:rPr>
              <w:t xml:space="preserve"> </w:t>
            </w:r>
          </w:p>
        </w:tc>
        <w:tc>
          <w:tcPr>
            <w:tcW w:w="2500" w:type="pct"/>
          </w:tcPr>
          <w:p w14:paraId="4F05AFC0" w14:textId="77777777" w:rsidR="00E57898" w:rsidRPr="002D7FEE" w:rsidRDefault="00E57898" w:rsidP="00137772">
            <w:pPr>
              <w:pStyle w:val="AODocTxt"/>
              <w:widowControl w:val="0"/>
              <w:rPr>
                <w:b/>
                <w:lang w:val="es-ES"/>
              </w:rPr>
            </w:pPr>
          </w:p>
        </w:tc>
      </w:tr>
      <w:tr w:rsidR="00E57898" w:rsidRPr="00250394" w14:paraId="4C5967DC" w14:textId="77777777" w:rsidTr="00B53048">
        <w:tc>
          <w:tcPr>
            <w:tcW w:w="2500" w:type="pct"/>
            <w:shd w:val="clear" w:color="auto" w:fill="auto"/>
            <w:hideMark/>
          </w:tcPr>
          <w:p w14:paraId="779C4478" w14:textId="77777777" w:rsidR="00E57898" w:rsidRPr="00413F1B" w:rsidRDefault="00E57898" w:rsidP="00E57898">
            <w:pPr>
              <w:pStyle w:val="AONormal"/>
              <w:widowControl w:val="0"/>
              <w:rPr>
                <w:lang w:val="es-ES"/>
              </w:rPr>
            </w:pPr>
          </w:p>
          <w:p w14:paraId="40FBB019" w14:textId="77777777" w:rsidR="00E57898" w:rsidRPr="00413F1B" w:rsidRDefault="00E57898" w:rsidP="00E57898">
            <w:pPr>
              <w:pStyle w:val="AONormal"/>
              <w:widowControl w:val="0"/>
              <w:rPr>
                <w:lang w:val="es-ES"/>
              </w:rPr>
            </w:pPr>
          </w:p>
          <w:p w14:paraId="129F7658" w14:textId="77777777" w:rsidR="00E57898" w:rsidRPr="00413F1B" w:rsidRDefault="00E57898" w:rsidP="00E57898">
            <w:pPr>
              <w:pStyle w:val="AONormal"/>
              <w:widowControl w:val="0"/>
              <w:rPr>
                <w:lang w:val="es-ES"/>
              </w:rPr>
            </w:pPr>
          </w:p>
          <w:p w14:paraId="0A8BB77C" w14:textId="77777777" w:rsidR="00E57898" w:rsidRPr="00413F1B" w:rsidRDefault="00E57898" w:rsidP="00E57898">
            <w:pPr>
              <w:pStyle w:val="AONormal"/>
              <w:widowControl w:val="0"/>
              <w:rPr>
                <w:u w:val="single"/>
                <w:lang w:val="es-ES"/>
              </w:rPr>
            </w:pPr>
            <w:r w:rsidRPr="00413F1B">
              <w:rPr>
                <w:u w:val="single"/>
                <w:lang w:val="es-ES"/>
              </w:rPr>
              <w:tab/>
            </w:r>
            <w:r w:rsidRPr="00413F1B">
              <w:rPr>
                <w:u w:val="single"/>
                <w:lang w:val="es-ES"/>
              </w:rPr>
              <w:tab/>
            </w:r>
            <w:r w:rsidRPr="00413F1B">
              <w:rPr>
                <w:u w:val="single"/>
                <w:lang w:val="es-ES"/>
              </w:rPr>
              <w:tab/>
            </w:r>
            <w:r w:rsidRPr="00413F1B">
              <w:rPr>
                <w:u w:val="single"/>
                <w:lang w:val="es-ES"/>
              </w:rPr>
              <w:tab/>
            </w:r>
            <w:r w:rsidRPr="00413F1B">
              <w:rPr>
                <w:u w:val="single"/>
                <w:lang w:val="es-ES"/>
              </w:rPr>
              <w:tab/>
            </w:r>
            <w:r w:rsidRPr="00413F1B">
              <w:rPr>
                <w:u w:val="single"/>
                <w:lang w:val="es-ES"/>
              </w:rPr>
              <w:tab/>
            </w:r>
          </w:p>
          <w:p w14:paraId="2D0AB54A" w14:textId="71009440" w:rsidR="00E57898" w:rsidRPr="00E2076F" w:rsidRDefault="00E57898" w:rsidP="00E57898">
            <w:pPr>
              <w:pStyle w:val="AONormal"/>
              <w:widowControl w:val="0"/>
              <w:rPr>
                <w:b/>
                <w:lang w:val="es-ES"/>
              </w:rPr>
            </w:pPr>
            <w:r w:rsidRPr="00E2076F">
              <w:rPr>
                <w:lang w:val="es-ES"/>
              </w:rPr>
              <w:t xml:space="preserve">P.p. </w:t>
            </w:r>
            <w:r w:rsidR="0022680C">
              <w:rPr>
                <w:lang w:val="es-ES"/>
              </w:rPr>
              <w:t>[</w:t>
            </w:r>
            <w:r w:rsidR="0022680C">
              <w:rPr>
                <w:lang w:val="es-ES"/>
              </w:rPr>
              <w:sym w:font="Wingdings" w:char="F06C"/>
            </w:r>
            <w:r w:rsidR="0022680C">
              <w:rPr>
                <w:lang w:val="es-ES"/>
              </w:rPr>
              <w:t>]</w:t>
            </w:r>
          </w:p>
        </w:tc>
        <w:tc>
          <w:tcPr>
            <w:tcW w:w="2500" w:type="pct"/>
          </w:tcPr>
          <w:p w14:paraId="0ED995ED" w14:textId="77777777" w:rsidR="00E57898" w:rsidRPr="00E2076F" w:rsidRDefault="00E57898" w:rsidP="00E57898">
            <w:pPr>
              <w:pStyle w:val="AONormal"/>
              <w:widowControl w:val="0"/>
              <w:rPr>
                <w:lang w:val="es-ES"/>
              </w:rPr>
            </w:pPr>
          </w:p>
        </w:tc>
      </w:tr>
    </w:tbl>
    <w:p w14:paraId="1CF236B2" w14:textId="77777777" w:rsidR="00527B66" w:rsidRPr="00E2076F" w:rsidRDefault="00527B66" w:rsidP="00527B66">
      <w:pPr>
        <w:pStyle w:val="AOAnxHead"/>
        <w:rPr>
          <w:lang w:val="es-ES"/>
        </w:rPr>
      </w:pPr>
      <w:bookmarkStart w:id="145" w:name="_Ref495480517"/>
      <w:bookmarkStart w:id="146" w:name="_Ref62555313"/>
      <w:bookmarkEnd w:id="143"/>
      <w:bookmarkEnd w:id="144"/>
    </w:p>
    <w:p w14:paraId="132900FD" w14:textId="77777777" w:rsidR="00527B66" w:rsidRPr="001564A3" w:rsidRDefault="00527B66" w:rsidP="00527B66">
      <w:pPr>
        <w:pStyle w:val="AOAnxTitle"/>
        <w:widowControl w:val="0"/>
      </w:pPr>
      <w:bookmarkStart w:id="147" w:name="_Toc69286712"/>
      <w:bookmarkStart w:id="148" w:name="_Toc164071535"/>
      <w:bookmarkEnd w:id="145"/>
      <w:r w:rsidRPr="001564A3">
        <w:t>Partes garantizadas</w:t>
      </w:r>
      <w:bookmarkEnd w:id="147"/>
      <w:bookmarkEnd w:id="148"/>
    </w:p>
    <w:p w14:paraId="2717B7D6" w14:textId="77777777" w:rsidR="00527B66" w:rsidRPr="00527B66" w:rsidRDefault="00527B66" w:rsidP="00527B66">
      <w:pPr>
        <w:spacing w:before="240" w:line="260" w:lineRule="atLeast"/>
        <w:jc w:val="center"/>
        <w:rPr>
          <w:rFonts w:eastAsia="Calibri"/>
          <w:b/>
        </w:rPr>
      </w:pPr>
      <w:r w:rsidRPr="00527B66">
        <w:rPr>
          <w:rFonts w:eastAsia="Calibri"/>
          <w:b/>
        </w:rPr>
        <w:t>/</w:t>
      </w:r>
    </w:p>
    <w:p w14:paraId="53F462FC" w14:textId="77777777" w:rsidR="00527B66" w:rsidRPr="00527B66" w:rsidRDefault="00527B66" w:rsidP="00527B66">
      <w:pPr>
        <w:pStyle w:val="Heading1"/>
        <w:keepNext w:val="0"/>
        <w:widowControl w:val="0"/>
        <w:jc w:val="center"/>
      </w:pPr>
      <w:bookmarkStart w:id="149" w:name="_Ref68548945"/>
      <w:bookmarkStart w:id="150" w:name="_Ref517404060"/>
      <w:r w:rsidRPr="00527B66">
        <w:t>Annex 1</w:t>
      </w:r>
      <w:bookmarkEnd w:id="149"/>
    </w:p>
    <w:p w14:paraId="61863A02" w14:textId="77777777" w:rsidR="00527B66" w:rsidRDefault="00527B66" w:rsidP="00527B66">
      <w:pPr>
        <w:pStyle w:val="AOLocation"/>
        <w:widowControl w:val="0"/>
        <w:spacing w:before="240"/>
        <w:rPr>
          <w:rFonts w:eastAsia="Calibri"/>
        </w:rPr>
      </w:pPr>
      <w:bookmarkStart w:id="151" w:name="_Toc69286715"/>
      <w:bookmarkStart w:id="152" w:name="_Toc164071539"/>
      <w:bookmarkEnd w:id="150"/>
      <w:r w:rsidRPr="00527B66">
        <w:t>Secured</w:t>
      </w:r>
      <w:r w:rsidRPr="00527B66">
        <w:rPr>
          <w:rFonts w:eastAsia="Calibri"/>
        </w:rPr>
        <w:t xml:space="preserve"> parties</w:t>
      </w:r>
      <w:bookmarkEnd w:id="151"/>
      <w:bookmarkEnd w:id="152"/>
    </w:p>
    <w:p w14:paraId="6012E56D" w14:textId="6EFC23C4" w:rsidR="007A1FB1" w:rsidRDefault="007A1FB1" w:rsidP="00527B66">
      <w:pPr>
        <w:pStyle w:val="AOLocation"/>
        <w:widowControl w:val="0"/>
        <w:spacing w:before="240"/>
        <w:rPr>
          <w:rFonts w:eastAsia="Calibri"/>
        </w:rPr>
      </w:pPr>
      <w:r w:rsidRPr="007A1FB1">
        <w:rPr>
          <w:rFonts w:eastAsia="Calibri"/>
          <w:highlight w:val="yellow"/>
        </w:rPr>
        <w:t>[</w:t>
      </w:r>
      <w:r w:rsidRPr="007A1FB1">
        <w:rPr>
          <w:rFonts w:eastAsia="Calibri"/>
          <w:caps w:val="0"/>
          <w:highlight w:val="yellow"/>
        </w:rPr>
        <w:t>N.B. List of Secured Parties yet to be confirmed by the Security Agent]</w:t>
      </w:r>
    </w:p>
    <w:p w14:paraId="54979AC7" w14:textId="6796CF22" w:rsidR="00527B66" w:rsidRPr="00527B66" w:rsidRDefault="00527B66" w:rsidP="007E2625">
      <w:pPr>
        <w:numPr>
          <w:ilvl w:val="0"/>
          <w:numId w:val="41"/>
        </w:numPr>
        <w:spacing w:before="240" w:line="260" w:lineRule="atLeast"/>
        <w:jc w:val="both"/>
        <w:outlineLvl w:val="4"/>
        <w:rPr>
          <w:rFonts w:eastAsia="Calibri"/>
          <w:b/>
          <w:u w:val="single"/>
          <w:lang w:val="es-ES"/>
        </w:rPr>
      </w:pPr>
      <w:bookmarkStart w:id="153" w:name="_cp_change_376"/>
      <w:bookmarkEnd w:id="153"/>
      <w:r w:rsidRPr="00527B66">
        <w:rPr>
          <w:rFonts w:eastAsia="Calibri"/>
          <w:b/>
          <w:u w:val="single"/>
          <w:lang w:val="es-ES"/>
        </w:rPr>
        <w:t xml:space="preserve">Entidades Financiadoras Iniciales ACF/ </w:t>
      </w:r>
      <w:proofErr w:type="spellStart"/>
      <w:r w:rsidRPr="00527B66">
        <w:rPr>
          <w:rFonts w:eastAsia="Calibri"/>
          <w:b/>
          <w:u w:val="single"/>
          <w:lang w:val="es-ES"/>
        </w:rPr>
        <w:t>Initial</w:t>
      </w:r>
      <w:proofErr w:type="spellEnd"/>
      <w:r w:rsidRPr="00527B66">
        <w:rPr>
          <w:rFonts w:eastAsia="Calibri"/>
          <w:b/>
          <w:u w:val="single"/>
          <w:lang w:val="es-ES"/>
        </w:rPr>
        <w:t xml:space="preserve"> ACF </w:t>
      </w:r>
      <w:proofErr w:type="spellStart"/>
      <w:r w:rsidRPr="00527B66">
        <w:rPr>
          <w:rFonts w:eastAsia="Calibri"/>
          <w:b/>
          <w:u w:val="single"/>
          <w:lang w:val="es-ES"/>
        </w:rPr>
        <w:t>Lenders</w:t>
      </w:r>
      <w:proofErr w:type="spellEnd"/>
    </w:p>
    <w:tbl>
      <w:tblPr>
        <w:tblW w:w="4886" w:type="pct"/>
        <w:tblInd w:w="399" w:type="dxa"/>
        <w:tblLayout w:type="fixed"/>
        <w:tblCellMar>
          <w:left w:w="115" w:type="dxa"/>
          <w:right w:w="115" w:type="dxa"/>
        </w:tblCellMar>
        <w:tblLook w:val="04A0" w:firstRow="1" w:lastRow="0" w:firstColumn="1" w:lastColumn="0" w:noHBand="0" w:noVBand="1"/>
      </w:tblPr>
      <w:tblGrid>
        <w:gridCol w:w="9418"/>
      </w:tblGrid>
      <w:tr w:rsidR="00527B66" w:rsidRPr="00A4106E" w14:paraId="0D0DCD71" w14:textId="77777777" w:rsidTr="00775330">
        <w:tc>
          <w:tcPr>
            <w:tcW w:w="5000" w:type="pct"/>
            <w:shd w:val="clear" w:color="auto" w:fill="auto"/>
          </w:tcPr>
          <w:p w14:paraId="57199FA1" w14:textId="77777777" w:rsidR="00527B66" w:rsidRPr="00415668" w:rsidRDefault="00527B66" w:rsidP="00E045E0">
            <w:pPr>
              <w:spacing w:before="240" w:line="260" w:lineRule="atLeast"/>
              <w:ind w:left="477" w:hanging="284"/>
              <w:jc w:val="both"/>
              <w:rPr>
                <w:rFonts w:eastAsia="Calibri"/>
                <w:lang w:val="fr-FR"/>
              </w:rPr>
            </w:pPr>
            <w:r w:rsidRPr="00415668">
              <w:rPr>
                <w:rFonts w:eastAsia="Calibri"/>
                <w:lang w:val="fr-FR"/>
              </w:rPr>
              <w:t>CIBC CAPITAL MARKETS (EUROPE) S.A.</w:t>
            </w:r>
          </w:p>
        </w:tc>
      </w:tr>
      <w:tr w:rsidR="00527B66" w:rsidRPr="00A4106E" w14:paraId="3D342652" w14:textId="77777777" w:rsidTr="00775330">
        <w:tc>
          <w:tcPr>
            <w:tcW w:w="5000" w:type="pct"/>
            <w:shd w:val="clear" w:color="auto" w:fill="auto"/>
          </w:tcPr>
          <w:p w14:paraId="658F1561" w14:textId="77777777" w:rsidR="00527B66" w:rsidRPr="00415668" w:rsidRDefault="00527B66" w:rsidP="00E045E0">
            <w:pPr>
              <w:spacing w:before="240" w:line="260" w:lineRule="atLeast"/>
              <w:ind w:firstLine="193"/>
              <w:jc w:val="both"/>
              <w:rPr>
                <w:rFonts w:eastAsia="Calibri"/>
                <w:lang w:val="de-DE"/>
              </w:rPr>
            </w:pPr>
            <w:r w:rsidRPr="00415668">
              <w:rPr>
                <w:rFonts w:eastAsia="Calibri"/>
                <w:lang w:val="de-DE"/>
              </w:rPr>
              <w:t>DEUTSCHE BANK AG, LONDON BRANCH</w:t>
            </w:r>
          </w:p>
        </w:tc>
      </w:tr>
      <w:tr w:rsidR="00527B66" w:rsidRPr="00527B66" w14:paraId="154D8C9D" w14:textId="77777777" w:rsidTr="00775330">
        <w:tc>
          <w:tcPr>
            <w:tcW w:w="5000" w:type="pct"/>
            <w:shd w:val="clear" w:color="auto" w:fill="auto"/>
          </w:tcPr>
          <w:p w14:paraId="14AEE9D7" w14:textId="77777777" w:rsidR="00527B66" w:rsidRPr="00527B66" w:rsidRDefault="00527B66" w:rsidP="00E045E0">
            <w:pPr>
              <w:spacing w:before="240" w:line="260" w:lineRule="atLeast"/>
              <w:ind w:firstLine="193"/>
              <w:jc w:val="both"/>
              <w:rPr>
                <w:rFonts w:eastAsia="Calibri"/>
              </w:rPr>
            </w:pPr>
            <w:r w:rsidRPr="00527B66">
              <w:rPr>
                <w:rFonts w:eastAsia="Calibri"/>
              </w:rPr>
              <w:t>HAMBURG COMMERCIAL BANK AG</w:t>
            </w:r>
          </w:p>
        </w:tc>
      </w:tr>
      <w:tr w:rsidR="00527B66" w:rsidRPr="00527B66" w14:paraId="471026A8" w14:textId="77777777" w:rsidTr="00775330">
        <w:tc>
          <w:tcPr>
            <w:tcW w:w="5000" w:type="pct"/>
            <w:shd w:val="clear" w:color="auto" w:fill="auto"/>
          </w:tcPr>
          <w:p w14:paraId="5B181CA7" w14:textId="77777777" w:rsidR="00527B66" w:rsidRPr="00527B66" w:rsidRDefault="00527B66" w:rsidP="00E045E0">
            <w:pPr>
              <w:spacing w:before="240" w:line="260" w:lineRule="atLeast"/>
              <w:ind w:firstLine="193"/>
              <w:jc w:val="both"/>
              <w:rPr>
                <w:rFonts w:eastAsia="Calibri"/>
              </w:rPr>
            </w:pPr>
            <w:r w:rsidRPr="00527B66">
              <w:rPr>
                <w:rFonts w:eastAsia="Calibri"/>
              </w:rPr>
              <w:t>ING BANK, A BRANCH OF ING-DIBA AG</w:t>
            </w:r>
          </w:p>
        </w:tc>
      </w:tr>
      <w:tr w:rsidR="00527B66" w:rsidRPr="00527B66" w14:paraId="2FA6B4C9" w14:textId="77777777" w:rsidTr="00775330">
        <w:tc>
          <w:tcPr>
            <w:tcW w:w="5000" w:type="pct"/>
            <w:shd w:val="clear" w:color="auto" w:fill="auto"/>
          </w:tcPr>
          <w:p w14:paraId="51A7DBC3" w14:textId="77777777" w:rsidR="00527B66" w:rsidRPr="00527B66" w:rsidRDefault="00527B66" w:rsidP="00E045E0">
            <w:pPr>
              <w:spacing w:before="240" w:line="260" w:lineRule="atLeast"/>
              <w:ind w:left="335" w:hanging="142"/>
              <w:jc w:val="both"/>
              <w:rPr>
                <w:rFonts w:eastAsia="Calibri"/>
              </w:rPr>
            </w:pPr>
            <w:r w:rsidRPr="00527B66">
              <w:rPr>
                <w:rFonts w:eastAsia="Calibri"/>
              </w:rPr>
              <w:t>MUFG BANK LTD</w:t>
            </w:r>
          </w:p>
        </w:tc>
      </w:tr>
      <w:tr w:rsidR="00527B66" w:rsidRPr="00527B66" w14:paraId="23FC6E9D" w14:textId="77777777" w:rsidTr="00775330">
        <w:tc>
          <w:tcPr>
            <w:tcW w:w="5000" w:type="pct"/>
            <w:shd w:val="clear" w:color="auto" w:fill="auto"/>
          </w:tcPr>
          <w:p w14:paraId="297260E8" w14:textId="77777777" w:rsidR="00527B66" w:rsidRPr="00527B66" w:rsidRDefault="00527B66" w:rsidP="00E045E0">
            <w:pPr>
              <w:spacing w:before="240" w:line="260" w:lineRule="atLeast"/>
              <w:ind w:left="335" w:hanging="142"/>
              <w:jc w:val="both"/>
              <w:rPr>
                <w:rFonts w:eastAsia="Calibri"/>
              </w:rPr>
            </w:pPr>
            <w:r w:rsidRPr="00527B66">
              <w:rPr>
                <w:rFonts w:eastAsia="Calibri"/>
              </w:rPr>
              <w:t>BANCO SANTANDER, S.A.</w:t>
            </w:r>
          </w:p>
        </w:tc>
      </w:tr>
      <w:tr w:rsidR="00527B66" w:rsidRPr="00527B66" w14:paraId="0961D6DA" w14:textId="77777777" w:rsidTr="00775330">
        <w:tc>
          <w:tcPr>
            <w:tcW w:w="5000" w:type="pct"/>
            <w:shd w:val="clear" w:color="auto" w:fill="auto"/>
          </w:tcPr>
          <w:p w14:paraId="250566CB" w14:textId="77777777" w:rsidR="00F25678" w:rsidRDefault="00527B66" w:rsidP="00F25678">
            <w:pPr>
              <w:spacing w:before="240" w:line="260" w:lineRule="atLeast"/>
              <w:ind w:left="335" w:hanging="142"/>
              <w:jc w:val="both"/>
              <w:rPr>
                <w:rFonts w:eastAsia="Calibri"/>
              </w:rPr>
            </w:pPr>
            <w:r w:rsidRPr="00527B66">
              <w:rPr>
                <w:rFonts w:eastAsia="Calibri"/>
              </w:rPr>
              <w:t>SUMITOMO MITSUI BANKING CORPORATION, BRUSSELS BRANCH</w:t>
            </w:r>
          </w:p>
          <w:p w14:paraId="262C37B5" w14:textId="1DB788BC" w:rsidR="00F25678" w:rsidRPr="00F25678" w:rsidRDefault="00F25678" w:rsidP="00F25678">
            <w:pPr>
              <w:spacing w:before="240" w:line="260" w:lineRule="atLeast"/>
              <w:ind w:left="335" w:hanging="142"/>
              <w:jc w:val="both"/>
              <w:rPr>
                <w:rFonts w:eastAsia="Calibri"/>
              </w:rPr>
            </w:pPr>
            <w:r w:rsidRPr="002D160F">
              <w:rPr>
                <w:rFonts w:eastAsia="Calibri"/>
              </w:rPr>
              <w:t>SHAMROCK INFRASTRUCTURE DEBT COMPANY UNDERSHAFT GBP DESIGNATED ACTIVITY COMPANY</w:t>
            </w:r>
          </w:p>
        </w:tc>
      </w:tr>
    </w:tbl>
    <w:p w14:paraId="097C103D" w14:textId="77777777" w:rsidR="00527B66" w:rsidRPr="00527B66" w:rsidRDefault="00527B66" w:rsidP="007E2625">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 xml:space="preserve">Entidades Financiadoras Iniciales MRF/ </w:t>
      </w:r>
      <w:proofErr w:type="spellStart"/>
      <w:r w:rsidRPr="00527B66">
        <w:rPr>
          <w:rFonts w:eastAsia="Calibri"/>
          <w:b/>
          <w:u w:val="single"/>
          <w:lang w:val="es-ES"/>
        </w:rPr>
        <w:t>Initial</w:t>
      </w:r>
      <w:proofErr w:type="spellEnd"/>
      <w:r w:rsidRPr="00527B66">
        <w:rPr>
          <w:rFonts w:eastAsia="Calibri"/>
          <w:b/>
          <w:u w:val="single"/>
          <w:lang w:val="es-ES"/>
        </w:rPr>
        <w:t xml:space="preserve"> MRF </w:t>
      </w:r>
      <w:proofErr w:type="spellStart"/>
      <w:r w:rsidRPr="00527B66">
        <w:rPr>
          <w:rFonts w:eastAsia="Calibri"/>
          <w:b/>
          <w:u w:val="single"/>
          <w:lang w:val="es-ES"/>
        </w:rPr>
        <w:t>Lenders</w:t>
      </w:r>
      <w:proofErr w:type="spellEnd"/>
    </w:p>
    <w:tbl>
      <w:tblPr>
        <w:tblW w:w="4886" w:type="pct"/>
        <w:tblInd w:w="399" w:type="dxa"/>
        <w:tblLayout w:type="fixed"/>
        <w:tblCellMar>
          <w:left w:w="115" w:type="dxa"/>
          <w:right w:w="115" w:type="dxa"/>
        </w:tblCellMar>
        <w:tblLook w:val="04A0" w:firstRow="1" w:lastRow="0" w:firstColumn="1" w:lastColumn="0" w:noHBand="0" w:noVBand="1"/>
      </w:tblPr>
      <w:tblGrid>
        <w:gridCol w:w="9418"/>
      </w:tblGrid>
      <w:tr w:rsidR="00527B66" w:rsidRPr="00A4106E" w14:paraId="281D6213" w14:textId="77777777" w:rsidTr="00775330">
        <w:tc>
          <w:tcPr>
            <w:tcW w:w="5000" w:type="pct"/>
            <w:shd w:val="clear" w:color="auto" w:fill="auto"/>
          </w:tcPr>
          <w:p w14:paraId="7787999F" w14:textId="77777777" w:rsidR="00527B66" w:rsidRPr="00415668" w:rsidRDefault="00527B66" w:rsidP="00E045E0">
            <w:pPr>
              <w:spacing w:before="240" w:line="260" w:lineRule="atLeast"/>
              <w:ind w:firstLine="193"/>
              <w:jc w:val="both"/>
              <w:rPr>
                <w:rFonts w:eastAsia="Calibri"/>
                <w:lang w:val="fr-FR"/>
              </w:rPr>
            </w:pPr>
            <w:r w:rsidRPr="00415668">
              <w:rPr>
                <w:rFonts w:eastAsia="Calibri"/>
                <w:lang w:val="fr-FR"/>
              </w:rPr>
              <w:t>CIBC CAPITAL MARKETS (EUROPE) S.A.</w:t>
            </w:r>
          </w:p>
        </w:tc>
      </w:tr>
      <w:tr w:rsidR="00527B66" w:rsidRPr="00527B66" w14:paraId="0D6823BE" w14:textId="77777777" w:rsidTr="00775330">
        <w:tc>
          <w:tcPr>
            <w:tcW w:w="5000" w:type="pct"/>
            <w:shd w:val="clear" w:color="auto" w:fill="auto"/>
          </w:tcPr>
          <w:p w14:paraId="0A482961" w14:textId="77777777" w:rsidR="00527B66" w:rsidRPr="00527B66" w:rsidRDefault="00527B66" w:rsidP="00E045E0">
            <w:pPr>
              <w:spacing w:before="240" w:line="260" w:lineRule="atLeast"/>
              <w:ind w:firstLine="193"/>
              <w:jc w:val="both"/>
              <w:rPr>
                <w:rFonts w:eastAsia="Calibri"/>
              </w:rPr>
            </w:pPr>
            <w:r w:rsidRPr="00527B66">
              <w:rPr>
                <w:rFonts w:eastAsia="Calibri"/>
              </w:rPr>
              <w:t>HAMBURG COMMERCIAL BANK AG</w:t>
            </w:r>
          </w:p>
        </w:tc>
      </w:tr>
      <w:tr w:rsidR="00527B66" w:rsidRPr="00527B66" w14:paraId="19714B9C" w14:textId="77777777" w:rsidTr="00775330">
        <w:tc>
          <w:tcPr>
            <w:tcW w:w="5000" w:type="pct"/>
            <w:shd w:val="clear" w:color="auto" w:fill="auto"/>
          </w:tcPr>
          <w:p w14:paraId="6F2FD7A8" w14:textId="77777777" w:rsidR="00527B66" w:rsidRPr="00527B66" w:rsidRDefault="00527B66" w:rsidP="00E045E0">
            <w:pPr>
              <w:spacing w:before="240" w:line="260" w:lineRule="atLeast"/>
              <w:ind w:firstLine="193"/>
              <w:jc w:val="both"/>
              <w:rPr>
                <w:rFonts w:eastAsia="Calibri"/>
              </w:rPr>
            </w:pPr>
            <w:r w:rsidRPr="00527B66">
              <w:rPr>
                <w:rFonts w:eastAsia="Calibri"/>
              </w:rPr>
              <w:t>ING BANK, A BRANCH OF ING-DIBA AG</w:t>
            </w:r>
          </w:p>
        </w:tc>
      </w:tr>
      <w:tr w:rsidR="00527B66" w:rsidRPr="00527B66" w14:paraId="653F2D10" w14:textId="77777777" w:rsidTr="00775330">
        <w:tc>
          <w:tcPr>
            <w:tcW w:w="5000" w:type="pct"/>
            <w:shd w:val="clear" w:color="auto" w:fill="auto"/>
          </w:tcPr>
          <w:p w14:paraId="2A6E51A7" w14:textId="34742E12" w:rsidR="00527B66" w:rsidRPr="00527B66" w:rsidRDefault="00527B66" w:rsidP="00F25678">
            <w:pPr>
              <w:spacing w:before="240" w:line="260" w:lineRule="atLeast"/>
              <w:ind w:firstLine="193"/>
              <w:jc w:val="both"/>
              <w:rPr>
                <w:rFonts w:eastAsia="Calibri"/>
              </w:rPr>
            </w:pPr>
            <w:r w:rsidRPr="00527B66">
              <w:rPr>
                <w:rFonts w:eastAsia="Calibri"/>
              </w:rPr>
              <w:t>MUFG BANK</w:t>
            </w:r>
            <w:r w:rsidR="00F25678">
              <w:rPr>
                <w:rFonts w:eastAsia="Calibri"/>
              </w:rPr>
              <w:t xml:space="preserve"> (Europe) N.V.</w:t>
            </w:r>
          </w:p>
        </w:tc>
      </w:tr>
      <w:tr w:rsidR="00527B66" w:rsidRPr="00527B66" w14:paraId="69A64749" w14:textId="77777777" w:rsidTr="00775330">
        <w:tc>
          <w:tcPr>
            <w:tcW w:w="5000" w:type="pct"/>
            <w:shd w:val="clear" w:color="auto" w:fill="auto"/>
          </w:tcPr>
          <w:p w14:paraId="43B09DE6" w14:textId="77777777" w:rsidR="00527B66" w:rsidRPr="00527B66" w:rsidRDefault="00527B66" w:rsidP="00E045E0">
            <w:pPr>
              <w:spacing w:before="240" w:line="260" w:lineRule="atLeast"/>
              <w:ind w:firstLine="193"/>
              <w:jc w:val="both"/>
              <w:rPr>
                <w:rFonts w:eastAsia="Calibri"/>
              </w:rPr>
            </w:pPr>
            <w:r w:rsidRPr="00527B66">
              <w:rPr>
                <w:rFonts w:eastAsia="Calibri"/>
              </w:rPr>
              <w:t>BANCO SANTANDER, S.A.</w:t>
            </w:r>
          </w:p>
        </w:tc>
      </w:tr>
      <w:tr w:rsidR="00527B66" w:rsidRPr="00527B66" w14:paraId="2C659D0F" w14:textId="77777777" w:rsidTr="00775330">
        <w:tc>
          <w:tcPr>
            <w:tcW w:w="5000" w:type="pct"/>
            <w:shd w:val="clear" w:color="auto" w:fill="auto"/>
          </w:tcPr>
          <w:p w14:paraId="2B09A758" w14:textId="77777777" w:rsidR="00527B66" w:rsidRPr="00527B66" w:rsidRDefault="00527B66" w:rsidP="00E045E0">
            <w:pPr>
              <w:spacing w:before="240" w:line="260" w:lineRule="atLeast"/>
              <w:ind w:firstLine="193"/>
              <w:jc w:val="both"/>
              <w:rPr>
                <w:rFonts w:eastAsia="Calibri"/>
              </w:rPr>
            </w:pPr>
            <w:r w:rsidRPr="00527B66">
              <w:rPr>
                <w:rFonts w:eastAsia="Calibri"/>
              </w:rPr>
              <w:t>SUMITOMO MITSUI BANKING CORPORATION, BRUSSELS BRANCH</w:t>
            </w:r>
          </w:p>
        </w:tc>
      </w:tr>
    </w:tbl>
    <w:p w14:paraId="514703DE" w14:textId="77777777" w:rsidR="00527B66" w:rsidRPr="00527B66" w:rsidRDefault="00527B66" w:rsidP="007E2625">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 xml:space="preserve">Entidades Financiadoras Iniciales LF/ </w:t>
      </w:r>
      <w:proofErr w:type="spellStart"/>
      <w:r w:rsidRPr="00527B66">
        <w:rPr>
          <w:rFonts w:eastAsia="Calibri"/>
          <w:b/>
          <w:u w:val="single"/>
          <w:lang w:val="es-ES"/>
        </w:rPr>
        <w:t>Initial</w:t>
      </w:r>
      <w:proofErr w:type="spellEnd"/>
      <w:r w:rsidRPr="00527B66">
        <w:rPr>
          <w:rFonts w:eastAsia="Calibri"/>
          <w:b/>
          <w:u w:val="single"/>
          <w:lang w:val="es-ES"/>
        </w:rPr>
        <w:t xml:space="preserve"> LF </w:t>
      </w:r>
      <w:proofErr w:type="spellStart"/>
      <w:r w:rsidRPr="00527B66">
        <w:rPr>
          <w:rFonts w:eastAsia="Calibri"/>
          <w:b/>
          <w:u w:val="single"/>
          <w:lang w:val="es-ES"/>
        </w:rPr>
        <w:t>Lenders</w:t>
      </w:r>
      <w:proofErr w:type="spellEnd"/>
    </w:p>
    <w:tbl>
      <w:tblPr>
        <w:tblW w:w="4886" w:type="pct"/>
        <w:tblInd w:w="399" w:type="dxa"/>
        <w:tblLayout w:type="fixed"/>
        <w:tblCellMar>
          <w:left w:w="115" w:type="dxa"/>
          <w:right w:w="115" w:type="dxa"/>
        </w:tblCellMar>
        <w:tblLook w:val="04A0" w:firstRow="1" w:lastRow="0" w:firstColumn="1" w:lastColumn="0" w:noHBand="0" w:noVBand="1"/>
      </w:tblPr>
      <w:tblGrid>
        <w:gridCol w:w="9418"/>
      </w:tblGrid>
      <w:tr w:rsidR="00527B66" w:rsidRPr="00A4106E" w14:paraId="4E892B5E" w14:textId="77777777" w:rsidTr="00775330">
        <w:tc>
          <w:tcPr>
            <w:tcW w:w="5000" w:type="pct"/>
            <w:shd w:val="clear" w:color="auto" w:fill="auto"/>
          </w:tcPr>
          <w:p w14:paraId="2C6C3710" w14:textId="77777777" w:rsidR="00527B66" w:rsidRPr="00415668" w:rsidRDefault="00527B66" w:rsidP="00E045E0">
            <w:pPr>
              <w:spacing w:before="240" w:line="260" w:lineRule="atLeast"/>
              <w:ind w:firstLine="193"/>
              <w:jc w:val="both"/>
              <w:rPr>
                <w:rFonts w:eastAsia="Calibri"/>
                <w:lang w:val="fr-FR"/>
              </w:rPr>
            </w:pPr>
            <w:r w:rsidRPr="00415668">
              <w:rPr>
                <w:rFonts w:eastAsia="Calibri"/>
                <w:lang w:val="fr-FR"/>
              </w:rPr>
              <w:t>CIBC CAPITAL MARKETS (EUROPE) S.A.</w:t>
            </w:r>
          </w:p>
        </w:tc>
      </w:tr>
      <w:tr w:rsidR="00527B66" w:rsidRPr="00527B66" w14:paraId="755D834C" w14:textId="77777777" w:rsidTr="00775330">
        <w:tc>
          <w:tcPr>
            <w:tcW w:w="5000" w:type="pct"/>
            <w:shd w:val="clear" w:color="auto" w:fill="auto"/>
          </w:tcPr>
          <w:p w14:paraId="7F5184B8" w14:textId="77777777" w:rsidR="00527B66" w:rsidRPr="00527B66" w:rsidRDefault="00527B66" w:rsidP="00E045E0">
            <w:pPr>
              <w:spacing w:before="240" w:line="260" w:lineRule="atLeast"/>
              <w:ind w:firstLine="193"/>
              <w:jc w:val="both"/>
              <w:rPr>
                <w:rFonts w:eastAsia="Calibri"/>
              </w:rPr>
            </w:pPr>
            <w:r w:rsidRPr="00527B66">
              <w:rPr>
                <w:rFonts w:eastAsia="Calibri"/>
              </w:rPr>
              <w:t>HAMBURG COMMERCIAL BANK AG</w:t>
            </w:r>
          </w:p>
        </w:tc>
      </w:tr>
      <w:tr w:rsidR="00527B66" w:rsidRPr="00527B66" w14:paraId="7D2DA2B4" w14:textId="77777777" w:rsidTr="00775330">
        <w:tc>
          <w:tcPr>
            <w:tcW w:w="5000" w:type="pct"/>
            <w:shd w:val="clear" w:color="auto" w:fill="auto"/>
          </w:tcPr>
          <w:p w14:paraId="1F82EF93" w14:textId="77777777" w:rsidR="00527B66" w:rsidRPr="00527B66" w:rsidRDefault="00527B66" w:rsidP="00E045E0">
            <w:pPr>
              <w:spacing w:before="240" w:line="260" w:lineRule="atLeast"/>
              <w:ind w:firstLine="193"/>
              <w:jc w:val="both"/>
              <w:rPr>
                <w:rFonts w:eastAsia="Calibri"/>
              </w:rPr>
            </w:pPr>
            <w:r w:rsidRPr="00527B66">
              <w:rPr>
                <w:rFonts w:eastAsia="Calibri"/>
              </w:rPr>
              <w:t>ING BANK, A BRANCH OF ING-DIBA AG</w:t>
            </w:r>
          </w:p>
        </w:tc>
      </w:tr>
      <w:tr w:rsidR="00527B66" w:rsidRPr="00527B66" w14:paraId="40AE0D23" w14:textId="77777777" w:rsidTr="00775330">
        <w:tc>
          <w:tcPr>
            <w:tcW w:w="5000" w:type="pct"/>
            <w:shd w:val="clear" w:color="auto" w:fill="auto"/>
          </w:tcPr>
          <w:p w14:paraId="5AC7DE75" w14:textId="50758A5E" w:rsidR="00527B66" w:rsidRPr="00527B66" w:rsidRDefault="00527B66" w:rsidP="00F25678">
            <w:pPr>
              <w:spacing w:before="240" w:line="260" w:lineRule="atLeast"/>
              <w:ind w:firstLine="193"/>
              <w:jc w:val="both"/>
              <w:rPr>
                <w:rFonts w:eastAsia="Calibri"/>
              </w:rPr>
            </w:pPr>
            <w:r w:rsidRPr="00527B66">
              <w:rPr>
                <w:rFonts w:eastAsia="Calibri"/>
              </w:rPr>
              <w:t xml:space="preserve">MUFG BANK </w:t>
            </w:r>
            <w:r w:rsidR="00F25678">
              <w:rPr>
                <w:rFonts w:eastAsia="Calibri"/>
              </w:rPr>
              <w:t>(Europe) N.V.</w:t>
            </w:r>
          </w:p>
        </w:tc>
      </w:tr>
      <w:tr w:rsidR="00527B66" w:rsidRPr="00527B66" w14:paraId="1DE48AF9" w14:textId="77777777" w:rsidTr="00775330">
        <w:tc>
          <w:tcPr>
            <w:tcW w:w="5000" w:type="pct"/>
            <w:shd w:val="clear" w:color="auto" w:fill="auto"/>
          </w:tcPr>
          <w:p w14:paraId="703AE15C" w14:textId="77777777" w:rsidR="00527B66" w:rsidRPr="00527B66" w:rsidRDefault="00527B66" w:rsidP="00E045E0">
            <w:pPr>
              <w:spacing w:before="240" w:line="260" w:lineRule="atLeast"/>
              <w:ind w:firstLine="193"/>
              <w:jc w:val="both"/>
              <w:rPr>
                <w:rFonts w:eastAsia="Calibri"/>
              </w:rPr>
            </w:pPr>
            <w:r w:rsidRPr="00527B66">
              <w:rPr>
                <w:rFonts w:eastAsia="Calibri"/>
              </w:rPr>
              <w:t>BANCO SANTANDER, S.A.</w:t>
            </w:r>
          </w:p>
        </w:tc>
      </w:tr>
      <w:tr w:rsidR="00527B66" w:rsidRPr="00527B66" w14:paraId="12FD3E08" w14:textId="77777777" w:rsidTr="00775330">
        <w:tc>
          <w:tcPr>
            <w:tcW w:w="5000" w:type="pct"/>
            <w:shd w:val="clear" w:color="auto" w:fill="auto"/>
          </w:tcPr>
          <w:p w14:paraId="63B4325E" w14:textId="77777777" w:rsidR="00527B66" w:rsidRPr="00527B66" w:rsidRDefault="00527B66" w:rsidP="00E045E0">
            <w:pPr>
              <w:spacing w:before="240" w:line="260" w:lineRule="atLeast"/>
              <w:ind w:firstLine="193"/>
              <w:jc w:val="both"/>
              <w:rPr>
                <w:rFonts w:eastAsia="Calibri"/>
              </w:rPr>
            </w:pPr>
            <w:r w:rsidRPr="00527B66">
              <w:rPr>
                <w:rFonts w:eastAsia="Calibri"/>
              </w:rPr>
              <w:lastRenderedPageBreak/>
              <w:t>SUMITOMO MITSUI BANKING CORPORATION, BRUSSELS BRANCH</w:t>
            </w:r>
          </w:p>
        </w:tc>
      </w:tr>
    </w:tbl>
    <w:p w14:paraId="18417261" w14:textId="77777777" w:rsidR="00527B66" w:rsidRPr="00527B66" w:rsidRDefault="00527B66" w:rsidP="007E2625">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Entidades Financiadoras Originales IBFA/</w:t>
      </w:r>
      <w:proofErr w:type="spellStart"/>
      <w:r w:rsidRPr="00527B66">
        <w:rPr>
          <w:rFonts w:eastAsia="Calibri"/>
          <w:b/>
          <w:u w:val="single"/>
          <w:lang w:val="es-ES"/>
        </w:rPr>
        <w:t>the</w:t>
      </w:r>
      <w:proofErr w:type="spellEnd"/>
      <w:r w:rsidRPr="00527B66">
        <w:rPr>
          <w:rFonts w:eastAsia="Calibri"/>
          <w:b/>
          <w:u w:val="single"/>
          <w:lang w:val="es-ES"/>
        </w:rPr>
        <w:t xml:space="preserve"> Original IBFA </w:t>
      </w:r>
      <w:proofErr w:type="spellStart"/>
      <w:r w:rsidRPr="00527B66">
        <w:rPr>
          <w:rFonts w:eastAsia="Calibri"/>
          <w:b/>
          <w:u w:val="single"/>
          <w:lang w:val="es-ES"/>
        </w:rPr>
        <w:t>Lenders</w:t>
      </w:r>
      <w:proofErr w:type="spellEnd"/>
    </w:p>
    <w:tbl>
      <w:tblPr>
        <w:tblW w:w="4886" w:type="pct"/>
        <w:tblInd w:w="399" w:type="dxa"/>
        <w:tblLayout w:type="fixed"/>
        <w:tblCellMar>
          <w:left w:w="115" w:type="dxa"/>
          <w:right w:w="115" w:type="dxa"/>
        </w:tblCellMar>
        <w:tblLook w:val="04A0" w:firstRow="1" w:lastRow="0" w:firstColumn="1" w:lastColumn="0" w:noHBand="0" w:noVBand="1"/>
      </w:tblPr>
      <w:tblGrid>
        <w:gridCol w:w="9418"/>
      </w:tblGrid>
      <w:tr w:rsidR="00527B66" w:rsidRPr="00527B66" w14:paraId="6B561712" w14:textId="77777777" w:rsidTr="00775330">
        <w:tc>
          <w:tcPr>
            <w:tcW w:w="5000" w:type="pct"/>
            <w:shd w:val="clear" w:color="auto" w:fill="auto"/>
          </w:tcPr>
          <w:p w14:paraId="21CDB2EE" w14:textId="77777777" w:rsidR="00527B66" w:rsidRPr="00527B66" w:rsidRDefault="00527B66" w:rsidP="00E045E0">
            <w:pPr>
              <w:spacing w:before="240" w:line="260" w:lineRule="atLeast"/>
              <w:ind w:left="193"/>
              <w:jc w:val="both"/>
              <w:rPr>
                <w:rFonts w:eastAsia="Calibri"/>
              </w:rPr>
            </w:pPr>
            <w:r w:rsidRPr="00527B66">
              <w:rPr>
                <w:rFonts w:eastAsia="Calibri"/>
              </w:rPr>
              <w:t>STANDARD LIFE INVESTMENTS SECURE CREDIT LP</w:t>
            </w:r>
          </w:p>
        </w:tc>
      </w:tr>
      <w:tr w:rsidR="00527B66" w:rsidRPr="00527B66" w14:paraId="3FDC863A" w14:textId="77777777" w:rsidTr="00775330">
        <w:tc>
          <w:tcPr>
            <w:tcW w:w="5000" w:type="pct"/>
            <w:shd w:val="clear" w:color="auto" w:fill="auto"/>
          </w:tcPr>
          <w:p w14:paraId="60BFF9BC" w14:textId="77777777" w:rsidR="00527B66" w:rsidRPr="00527B66" w:rsidRDefault="00527B66" w:rsidP="00E045E0">
            <w:pPr>
              <w:spacing w:before="240" w:line="260" w:lineRule="atLeast"/>
              <w:ind w:left="193"/>
              <w:jc w:val="both"/>
              <w:rPr>
                <w:rFonts w:eastAsia="Calibri"/>
              </w:rPr>
            </w:pPr>
            <w:r w:rsidRPr="00527B66">
              <w:rPr>
                <w:rFonts w:eastAsia="Calibri"/>
              </w:rPr>
              <w:t>STANDARD LIFE ASSURANCE LIMITED</w:t>
            </w:r>
          </w:p>
        </w:tc>
      </w:tr>
      <w:tr w:rsidR="00527B66" w:rsidRPr="00527B66" w14:paraId="0FAC4A2D" w14:textId="77777777" w:rsidTr="00775330">
        <w:tc>
          <w:tcPr>
            <w:tcW w:w="5000" w:type="pct"/>
            <w:shd w:val="clear" w:color="auto" w:fill="auto"/>
          </w:tcPr>
          <w:p w14:paraId="0A162C40" w14:textId="7788FCA4" w:rsidR="00527B66" w:rsidRPr="00527B66" w:rsidRDefault="00527B66" w:rsidP="00F25678">
            <w:pPr>
              <w:spacing w:before="240" w:line="260" w:lineRule="atLeast"/>
              <w:ind w:left="193"/>
              <w:jc w:val="both"/>
              <w:rPr>
                <w:rFonts w:eastAsia="Calibri"/>
              </w:rPr>
            </w:pPr>
            <w:r w:rsidRPr="00527B66">
              <w:rPr>
                <w:rFonts w:eastAsia="Calibri"/>
              </w:rPr>
              <w:t xml:space="preserve">AVIVA LIFE &amp; PENSIONS </w:t>
            </w:r>
            <w:r w:rsidR="00F25678">
              <w:rPr>
                <w:rFonts w:eastAsia="Calibri"/>
              </w:rPr>
              <w:t>UK LIMITED</w:t>
            </w:r>
          </w:p>
        </w:tc>
      </w:tr>
      <w:tr w:rsidR="00527B66" w:rsidRPr="00527B66" w14:paraId="0BBC6DE3" w14:textId="77777777" w:rsidTr="00775330">
        <w:tc>
          <w:tcPr>
            <w:tcW w:w="5000" w:type="pct"/>
            <w:shd w:val="clear" w:color="auto" w:fill="auto"/>
          </w:tcPr>
          <w:p w14:paraId="5FA6594B" w14:textId="77777777" w:rsidR="00527B66" w:rsidRPr="00527B66" w:rsidRDefault="00527B66" w:rsidP="00E045E0">
            <w:pPr>
              <w:spacing w:before="240" w:line="260" w:lineRule="atLeast"/>
              <w:ind w:left="193"/>
              <w:jc w:val="both"/>
              <w:rPr>
                <w:rFonts w:eastAsia="Calibri"/>
              </w:rPr>
            </w:pPr>
            <w:r w:rsidRPr="00527B66">
              <w:rPr>
                <w:rFonts w:eastAsia="Calibri"/>
              </w:rPr>
              <w:t>AVIVA INVESTORS MULTI-ASSET ALTERNATIVE INCOME S.A. ACTING FOR THE ACCOUNT OF ITS COMPARTMENT 1</w:t>
            </w:r>
          </w:p>
        </w:tc>
      </w:tr>
      <w:tr w:rsidR="00527B66" w:rsidRPr="00527B66" w14:paraId="11959587" w14:textId="77777777" w:rsidTr="00775330">
        <w:tc>
          <w:tcPr>
            <w:tcW w:w="5000" w:type="pct"/>
            <w:shd w:val="clear" w:color="auto" w:fill="auto"/>
          </w:tcPr>
          <w:p w14:paraId="56D0568F" w14:textId="77777777" w:rsidR="00527B66" w:rsidRPr="00527B66" w:rsidRDefault="00527B66" w:rsidP="00E045E0">
            <w:pPr>
              <w:spacing w:before="240" w:line="260" w:lineRule="atLeast"/>
              <w:ind w:left="193"/>
              <w:jc w:val="both"/>
              <w:rPr>
                <w:rFonts w:eastAsia="Calibri"/>
              </w:rPr>
            </w:pPr>
            <w:r w:rsidRPr="00527B66">
              <w:rPr>
                <w:rFonts w:eastAsia="Calibri"/>
              </w:rPr>
              <w:t>AVIVA INVESTORS ALTERNATIVES S.A. ACTING FOR THE ACCOUNT OF ITS COMPARTMENT 1</w:t>
            </w:r>
          </w:p>
        </w:tc>
      </w:tr>
      <w:tr w:rsidR="00527B66" w:rsidRPr="00527B66" w14:paraId="41799784" w14:textId="77777777" w:rsidTr="00775330">
        <w:tc>
          <w:tcPr>
            <w:tcW w:w="5000" w:type="pct"/>
            <w:shd w:val="clear" w:color="auto" w:fill="auto"/>
          </w:tcPr>
          <w:p w14:paraId="32960CE6" w14:textId="77777777" w:rsidR="00527B66" w:rsidRPr="00527B66" w:rsidRDefault="00527B66" w:rsidP="00E045E0">
            <w:pPr>
              <w:spacing w:before="240" w:line="260" w:lineRule="atLeast"/>
              <w:ind w:left="193"/>
              <w:jc w:val="both"/>
              <w:rPr>
                <w:rFonts w:eastAsia="Calibri"/>
              </w:rPr>
            </w:pPr>
            <w:r w:rsidRPr="00527B66">
              <w:rPr>
                <w:rFonts w:eastAsia="Calibri"/>
              </w:rPr>
              <w:t>SAUL TRUSTEE COMPANY AS TRUSTEE OF THE SUPERANNUATION ARRANGEMENTS OF THE UNIVERSITY OF LONDON (SAUL)</w:t>
            </w:r>
          </w:p>
        </w:tc>
      </w:tr>
      <w:tr w:rsidR="00527B66" w:rsidRPr="00527B66" w14:paraId="226B7A1A" w14:textId="77777777" w:rsidTr="00775330">
        <w:tc>
          <w:tcPr>
            <w:tcW w:w="5000" w:type="pct"/>
            <w:shd w:val="clear" w:color="auto" w:fill="auto"/>
          </w:tcPr>
          <w:p w14:paraId="70B67320" w14:textId="77777777" w:rsidR="00527B66" w:rsidRPr="00527B66" w:rsidRDefault="00527B66" w:rsidP="00E045E0">
            <w:pPr>
              <w:spacing w:before="240" w:line="260" w:lineRule="atLeast"/>
              <w:ind w:left="193"/>
              <w:jc w:val="both"/>
              <w:rPr>
                <w:rFonts w:eastAsia="Calibri"/>
              </w:rPr>
            </w:pPr>
            <w:r w:rsidRPr="00527B66">
              <w:rPr>
                <w:rFonts w:eastAsia="Calibri"/>
              </w:rPr>
              <w:t>AXA FRANCE VIE, ACTING THROUGH AND IN RESPECT OF ITS SEGMENT PREVOYANCE</w:t>
            </w:r>
          </w:p>
        </w:tc>
      </w:tr>
      <w:tr w:rsidR="00527B66" w:rsidRPr="00527B66" w14:paraId="511BB947" w14:textId="77777777" w:rsidTr="00775330">
        <w:tc>
          <w:tcPr>
            <w:tcW w:w="5000" w:type="pct"/>
            <w:shd w:val="clear" w:color="auto" w:fill="auto"/>
          </w:tcPr>
          <w:p w14:paraId="10380B71" w14:textId="77777777" w:rsidR="00527B66" w:rsidRPr="00527B66" w:rsidRDefault="00527B66" w:rsidP="00E045E0">
            <w:pPr>
              <w:spacing w:before="240" w:line="260" w:lineRule="atLeast"/>
              <w:ind w:left="193"/>
              <w:jc w:val="both"/>
              <w:rPr>
                <w:rFonts w:eastAsia="Calibri"/>
              </w:rPr>
            </w:pPr>
            <w:r w:rsidRPr="00527B66">
              <w:rPr>
                <w:rFonts w:eastAsia="Calibri"/>
              </w:rPr>
              <w:t>AXA FRANCE VIE, ACTING THROUGH AND IN RESPECT OF ITS SEGMENT AGR</w:t>
            </w:r>
          </w:p>
        </w:tc>
      </w:tr>
      <w:tr w:rsidR="00527B66" w:rsidRPr="00527B66" w14:paraId="1EB12A36" w14:textId="77777777" w:rsidTr="00775330">
        <w:tc>
          <w:tcPr>
            <w:tcW w:w="5000" w:type="pct"/>
            <w:shd w:val="clear" w:color="auto" w:fill="auto"/>
          </w:tcPr>
          <w:p w14:paraId="2F9FC0B8" w14:textId="77777777" w:rsidR="00527B66" w:rsidRPr="00527B66" w:rsidRDefault="00527B66" w:rsidP="00E045E0">
            <w:pPr>
              <w:spacing w:before="240" w:line="260" w:lineRule="atLeast"/>
              <w:ind w:left="193"/>
              <w:jc w:val="both"/>
              <w:rPr>
                <w:rFonts w:eastAsia="Calibri"/>
              </w:rPr>
            </w:pPr>
            <w:r w:rsidRPr="00527B66">
              <w:rPr>
                <w:rFonts w:eastAsia="Calibri"/>
              </w:rPr>
              <w:t>AXA FRANCE VIE, ACTING THROUGH AND IN RESPECT OF ITS SEGMENT FONDS LIBRE</w:t>
            </w:r>
          </w:p>
        </w:tc>
      </w:tr>
      <w:tr w:rsidR="00527B66" w:rsidRPr="00527B66" w14:paraId="476B2EE2" w14:textId="77777777" w:rsidTr="00775330">
        <w:tc>
          <w:tcPr>
            <w:tcW w:w="5000" w:type="pct"/>
            <w:shd w:val="clear" w:color="auto" w:fill="auto"/>
          </w:tcPr>
          <w:p w14:paraId="0DAD2B84" w14:textId="77777777" w:rsidR="00527B66" w:rsidRPr="00527B66" w:rsidRDefault="00527B66" w:rsidP="00E045E0">
            <w:pPr>
              <w:spacing w:before="240" w:line="260" w:lineRule="atLeast"/>
              <w:ind w:left="193"/>
              <w:jc w:val="both"/>
              <w:rPr>
                <w:rFonts w:eastAsia="Calibri"/>
              </w:rPr>
            </w:pPr>
            <w:r w:rsidRPr="00527B66">
              <w:rPr>
                <w:rFonts w:eastAsia="Calibri"/>
              </w:rPr>
              <w:t>AXA FRANCE VIE, ACTING THROUGH AND IN RESPECT OF ITS SEGMENT PRUDENT</w:t>
            </w:r>
          </w:p>
        </w:tc>
      </w:tr>
      <w:tr w:rsidR="00527B66" w:rsidRPr="00527B66" w14:paraId="72986F64" w14:textId="77777777" w:rsidTr="00775330">
        <w:tc>
          <w:tcPr>
            <w:tcW w:w="5000" w:type="pct"/>
            <w:shd w:val="clear" w:color="auto" w:fill="auto"/>
          </w:tcPr>
          <w:p w14:paraId="75F27C53" w14:textId="77777777" w:rsidR="00527B66" w:rsidRPr="00527B66" w:rsidRDefault="00527B66" w:rsidP="00E045E0">
            <w:pPr>
              <w:spacing w:before="240" w:line="260" w:lineRule="atLeast"/>
              <w:ind w:left="193"/>
              <w:jc w:val="both"/>
              <w:rPr>
                <w:rFonts w:eastAsia="Calibri"/>
              </w:rPr>
            </w:pPr>
            <w:r w:rsidRPr="00527B66">
              <w:rPr>
                <w:rFonts w:eastAsia="Calibri"/>
              </w:rPr>
              <w:t>AXA FRANCE VIE, ACTING THROUGH AND IN RESPECT OF ITS SEGMENT OPPORTUNITÉ</w:t>
            </w:r>
          </w:p>
        </w:tc>
      </w:tr>
      <w:tr w:rsidR="00527B66" w:rsidRPr="00527B66" w14:paraId="6CB2900D" w14:textId="77777777" w:rsidTr="00775330">
        <w:tc>
          <w:tcPr>
            <w:tcW w:w="5000" w:type="pct"/>
            <w:shd w:val="clear" w:color="auto" w:fill="auto"/>
          </w:tcPr>
          <w:p w14:paraId="5CF63741" w14:textId="77777777" w:rsidR="00527B66" w:rsidRPr="00527B66" w:rsidRDefault="00527B66" w:rsidP="00E045E0">
            <w:pPr>
              <w:spacing w:before="240" w:line="260" w:lineRule="atLeast"/>
              <w:ind w:left="193"/>
              <w:jc w:val="both"/>
              <w:rPr>
                <w:rFonts w:eastAsia="Calibri"/>
              </w:rPr>
            </w:pPr>
            <w:r w:rsidRPr="00527B66">
              <w:rPr>
                <w:rFonts w:eastAsia="Calibri"/>
              </w:rPr>
              <w:t xml:space="preserve">COMPARTMENT INFRASTRUCTURE 1 OF BABEL FCT </w:t>
            </w:r>
          </w:p>
        </w:tc>
      </w:tr>
      <w:tr w:rsidR="00527B66" w:rsidRPr="00527B66" w14:paraId="43E7F19A" w14:textId="77777777" w:rsidTr="00775330">
        <w:tc>
          <w:tcPr>
            <w:tcW w:w="5000" w:type="pct"/>
            <w:shd w:val="clear" w:color="auto" w:fill="auto"/>
          </w:tcPr>
          <w:p w14:paraId="194D41F4" w14:textId="77777777" w:rsidR="00527B66" w:rsidRPr="00527B66" w:rsidRDefault="00527B66" w:rsidP="00E045E0">
            <w:pPr>
              <w:spacing w:before="240" w:line="260" w:lineRule="atLeast"/>
              <w:ind w:left="193"/>
              <w:jc w:val="both"/>
              <w:rPr>
                <w:rFonts w:eastAsia="Calibri"/>
              </w:rPr>
            </w:pPr>
            <w:r w:rsidRPr="00527B66">
              <w:rPr>
                <w:rFonts w:eastAsia="Calibri"/>
              </w:rPr>
              <w:t>AXA FRANCE IARD</w:t>
            </w:r>
          </w:p>
        </w:tc>
      </w:tr>
      <w:tr w:rsidR="00527B66" w:rsidRPr="00527B66" w14:paraId="27FC7360" w14:textId="77777777" w:rsidTr="00775330">
        <w:tc>
          <w:tcPr>
            <w:tcW w:w="5000" w:type="pct"/>
            <w:shd w:val="clear" w:color="auto" w:fill="auto"/>
          </w:tcPr>
          <w:p w14:paraId="342C711F" w14:textId="77777777" w:rsidR="00527B66" w:rsidRPr="00527B66" w:rsidRDefault="00527B66" w:rsidP="00E045E0">
            <w:pPr>
              <w:spacing w:before="240" w:line="260" w:lineRule="atLeast"/>
              <w:ind w:left="193"/>
              <w:jc w:val="both"/>
              <w:rPr>
                <w:rFonts w:eastAsia="Calibri"/>
              </w:rPr>
            </w:pPr>
            <w:r w:rsidRPr="00527B66">
              <w:rPr>
                <w:rFonts w:eastAsia="Calibri"/>
              </w:rPr>
              <w:t>AXA ASSURANCE IARD MUTUELLE</w:t>
            </w:r>
          </w:p>
        </w:tc>
      </w:tr>
      <w:tr w:rsidR="00527B66" w:rsidRPr="00527B66" w14:paraId="112F3F5F" w14:textId="77777777" w:rsidTr="00775330">
        <w:tc>
          <w:tcPr>
            <w:tcW w:w="5000" w:type="pct"/>
            <w:shd w:val="clear" w:color="auto" w:fill="auto"/>
          </w:tcPr>
          <w:p w14:paraId="1AE2FDCC" w14:textId="77777777" w:rsidR="00527B66" w:rsidRPr="00527B66" w:rsidRDefault="00527B66" w:rsidP="00E045E0">
            <w:pPr>
              <w:spacing w:before="240" w:line="260" w:lineRule="atLeast"/>
              <w:ind w:left="193"/>
              <w:jc w:val="both"/>
              <w:rPr>
                <w:rFonts w:eastAsia="Calibri"/>
              </w:rPr>
            </w:pPr>
            <w:r w:rsidRPr="00527B66">
              <w:rPr>
                <w:rFonts w:eastAsia="Calibri"/>
              </w:rPr>
              <w:t>AXA CORPORATE SOLUTIONS ASSURANCE</w:t>
            </w:r>
          </w:p>
        </w:tc>
      </w:tr>
      <w:tr w:rsidR="00527B66" w:rsidRPr="00527B66" w14:paraId="56CB8628" w14:textId="77777777" w:rsidTr="00775330">
        <w:tc>
          <w:tcPr>
            <w:tcW w:w="5000" w:type="pct"/>
            <w:shd w:val="clear" w:color="auto" w:fill="auto"/>
          </w:tcPr>
          <w:p w14:paraId="5C9EE532" w14:textId="77777777" w:rsidR="00527B66" w:rsidRPr="00527B66" w:rsidRDefault="00527B66" w:rsidP="00E045E0">
            <w:pPr>
              <w:spacing w:before="240" w:line="260" w:lineRule="atLeast"/>
              <w:ind w:left="193"/>
              <w:jc w:val="both"/>
              <w:rPr>
                <w:rFonts w:eastAsia="Calibri"/>
              </w:rPr>
            </w:pPr>
            <w:r w:rsidRPr="00527B66">
              <w:rPr>
                <w:rFonts w:eastAsia="Calibri"/>
              </w:rPr>
              <w:t>AXA VERSICHERUNG AG</w:t>
            </w:r>
          </w:p>
        </w:tc>
      </w:tr>
      <w:tr w:rsidR="00527B66" w:rsidRPr="00527B66" w14:paraId="1E1423D1" w14:textId="77777777" w:rsidTr="00775330">
        <w:tc>
          <w:tcPr>
            <w:tcW w:w="5000" w:type="pct"/>
            <w:shd w:val="clear" w:color="auto" w:fill="auto"/>
          </w:tcPr>
          <w:p w14:paraId="58E681F3" w14:textId="77777777" w:rsidR="00527B66" w:rsidRPr="00527B66" w:rsidRDefault="00527B66" w:rsidP="00E045E0">
            <w:pPr>
              <w:spacing w:before="240" w:line="260" w:lineRule="atLeast"/>
              <w:ind w:left="193"/>
              <w:jc w:val="both"/>
              <w:rPr>
                <w:rFonts w:eastAsia="Calibri"/>
              </w:rPr>
            </w:pPr>
            <w:r w:rsidRPr="00527B66">
              <w:rPr>
                <w:rFonts w:eastAsia="Calibri"/>
              </w:rPr>
              <w:t>AXA LEBENSVERSICHERUNG AG</w:t>
            </w:r>
          </w:p>
        </w:tc>
      </w:tr>
      <w:tr w:rsidR="00527B66" w:rsidRPr="00527B66" w14:paraId="1D5E977F" w14:textId="77777777" w:rsidTr="00775330">
        <w:tc>
          <w:tcPr>
            <w:tcW w:w="5000" w:type="pct"/>
            <w:shd w:val="clear" w:color="auto" w:fill="auto"/>
          </w:tcPr>
          <w:p w14:paraId="05AEC8EB" w14:textId="77777777" w:rsidR="00527B66" w:rsidRPr="00527B66" w:rsidRDefault="00527B66" w:rsidP="00E045E0">
            <w:pPr>
              <w:spacing w:before="240" w:line="260" w:lineRule="atLeast"/>
              <w:ind w:left="193"/>
              <w:jc w:val="both"/>
              <w:rPr>
                <w:rFonts w:eastAsia="Calibri"/>
              </w:rPr>
            </w:pPr>
            <w:r w:rsidRPr="00527B66">
              <w:rPr>
                <w:rFonts w:eastAsia="Calibri"/>
              </w:rPr>
              <w:t>AXA KRANKENVERSICHERUNG AG</w:t>
            </w:r>
          </w:p>
        </w:tc>
      </w:tr>
      <w:tr w:rsidR="00527B66" w:rsidRPr="00527B66" w14:paraId="3974B379" w14:textId="77777777" w:rsidTr="00775330">
        <w:tc>
          <w:tcPr>
            <w:tcW w:w="5000" w:type="pct"/>
            <w:shd w:val="clear" w:color="auto" w:fill="auto"/>
          </w:tcPr>
          <w:p w14:paraId="50E6987C" w14:textId="77777777" w:rsidR="00527B66" w:rsidRPr="00527B66" w:rsidRDefault="00527B66" w:rsidP="00E045E0">
            <w:pPr>
              <w:spacing w:before="240" w:line="260" w:lineRule="atLeast"/>
              <w:ind w:left="193"/>
              <w:jc w:val="both"/>
              <w:rPr>
                <w:rFonts w:eastAsia="Calibri"/>
              </w:rPr>
            </w:pPr>
            <w:r w:rsidRPr="00527B66">
              <w:rPr>
                <w:rFonts w:eastAsia="Calibri"/>
              </w:rPr>
              <w:t>DEUTSCHE ÄRZTE VERSICHERUNG AG</w:t>
            </w:r>
          </w:p>
        </w:tc>
      </w:tr>
      <w:tr w:rsidR="00527B66" w:rsidRPr="00527B66" w14:paraId="6233A9BC" w14:textId="77777777" w:rsidTr="00775330">
        <w:tc>
          <w:tcPr>
            <w:tcW w:w="5000" w:type="pct"/>
            <w:shd w:val="clear" w:color="auto" w:fill="auto"/>
          </w:tcPr>
          <w:p w14:paraId="4D160E69" w14:textId="77777777" w:rsidR="00527B66" w:rsidRPr="00527B66" w:rsidRDefault="00527B66" w:rsidP="00E045E0">
            <w:pPr>
              <w:spacing w:before="240" w:line="260" w:lineRule="atLeast"/>
              <w:ind w:left="193"/>
              <w:jc w:val="both"/>
              <w:rPr>
                <w:rFonts w:eastAsia="Calibri"/>
              </w:rPr>
            </w:pPr>
            <w:r w:rsidRPr="00527B66">
              <w:rPr>
                <w:rFonts w:eastAsia="Calibri"/>
              </w:rPr>
              <w:t>AXA LEBENSVERSICHERUNG AG</w:t>
            </w:r>
          </w:p>
        </w:tc>
      </w:tr>
      <w:tr w:rsidR="00527B66" w:rsidRPr="00527B66" w14:paraId="67233903" w14:textId="77777777" w:rsidTr="00775330">
        <w:tc>
          <w:tcPr>
            <w:tcW w:w="5000" w:type="pct"/>
            <w:shd w:val="clear" w:color="auto" w:fill="auto"/>
          </w:tcPr>
          <w:p w14:paraId="73037818" w14:textId="77777777" w:rsidR="00527B66" w:rsidRPr="00527B66" w:rsidRDefault="00527B66" w:rsidP="00E045E0">
            <w:pPr>
              <w:spacing w:before="240" w:line="260" w:lineRule="atLeast"/>
              <w:ind w:left="193"/>
              <w:jc w:val="both"/>
              <w:rPr>
                <w:rFonts w:eastAsia="Calibri"/>
              </w:rPr>
            </w:pPr>
            <w:r w:rsidRPr="00527B66">
              <w:rPr>
                <w:rFonts w:eastAsia="Calibri"/>
              </w:rPr>
              <w:t xml:space="preserve">INTERNATIONAL INFRASTRUCTURE FINANCE S.À </w:t>
            </w:r>
            <w:proofErr w:type="gramStart"/>
            <w:r w:rsidRPr="00527B66">
              <w:rPr>
                <w:rFonts w:eastAsia="Calibri"/>
              </w:rPr>
              <w:t>R.L</w:t>
            </w:r>
            <w:proofErr w:type="gramEnd"/>
            <w:r w:rsidRPr="00527B66">
              <w:rPr>
                <w:rFonts w:eastAsia="Calibri"/>
              </w:rPr>
              <w:t xml:space="preserve"> ACTING THROUGH AND IN RESPECT OF ITS COMPARTMENT 1</w:t>
            </w:r>
          </w:p>
        </w:tc>
      </w:tr>
      <w:tr w:rsidR="00527B66" w:rsidRPr="00962702" w14:paraId="6D5FBE3B" w14:textId="77777777" w:rsidTr="00775330">
        <w:tc>
          <w:tcPr>
            <w:tcW w:w="5000" w:type="pct"/>
            <w:shd w:val="clear" w:color="auto" w:fill="auto"/>
          </w:tcPr>
          <w:p w14:paraId="4D4F1183" w14:textId="77777777" w:rsidR="00527B66" w:rsidRPr="00316E16" w:rsidRDefault="00527B66" w:rsidP="00E045E0">
            <w:pPr>
              <w:spacing w:before="240" w:line="260" w:lineRule="atLeast"/>
              <w:ind w:left="193"/>
              <w:jc w:val="both"/>
              <w:rPr>
                <w:rFonts w:eastAsia="Calibri"/>
                <w:lang w:val="pt-BR"/>
              </w:rPr>
            </w:pPr>
            <w:r w:rsidRPr="00316E16">
              <w:rPr>
                <w:rFonts w:eastAsia="Calibri"/>
                <w:lang w:val="pt-BR"/>
              </w:rPr>
              <w:t>AXA BELGIUM - AXA BELG OCA IARD - 97 734635-9780</w:t>
            </w:r>
          </w:p>
        </w:tc>
      </w:tr>
      <w:tr w:rsidR="00527B66" w:rsidRPr="00CD7F22" w14:paraId="7F655F7F" w14:textId="77777777" w:rsidTr="00775330">
        <w:tc>
          <w:tcPr>
            <w:tcW w:w="5000" w:type="pct"/>
            <w:shd w:val="clear" w:color="auto" w:fill="auto"/>
          </w:tcPr>
          <w:p w14:paraId="0D11D001" w14:textId="77777777" w:rsidR="00527B66" w:rsidRPr="00527B66" w:rsidRDefault="00527B66" w:rsidP="00E045E0">
            <w:pPr>
              <w:spacing w:before="240" w:line="260" w:lineRule="atLeast"/>
              <w:ind w:left="193"/>
              <w:jc w:val="both"/>
              <w:rPr>
                <w:rFonts w:eastAsia="Calibri"/>
                <w:lang w:val="es-ES"/>
              </w:rPr>
            </w:pPr>
            <w:r w:rsidRPr="00527B66">
              <w:rPr>
                <w:rFonts w:eastAsia="Calibri"/>
                <w:lang w:val="es-ES"/>
              </w:rPr>
              <w:t>AXA AURORA VIDA S.A. DE SEGUROS Y REASEGUROS</w:t>
            </w:r>
          </w:p>
        </w:tc>
      </w:tr>
      <w:tr w:rsidR="00527B66" w:rsidRPr="00527B66" w14:paraId="740C4CC5" w14:textId="77777777" w:rsidTr="00775330">
        <w:tc>
          <w:tcPr>
            <w:tcW w:w="5000" w:type="pct"/>
            <w:shd w:val="clear" w:color="auto" w:fill="auto"/>
          </w:tcPr>
          <w:p w14:paraId="6F0D809F" w14:textId="77777777" w:rsidR="00527B66" w:rsidRPr="00527B66" w:rsidRDefault="00527B66" w:rsidP="00E045E0">
            <w:pPr>
              <w:spacing w:before="240" w:line="260" w:lineRule="atLeast"/>
              <w:ind w:left="193"/>
              <w:jc w:val="both"/>
              <w:rPr>
                <w:rFonts w:eastAsia="Calibri"/>
              </w:rPr>
            </w:pPr>
            <w:r w:rsidRPr="00527B66">
              <w:rPr>
                <w:rFonts w:eastAsia="Calibri"/>
              </w:rPr>
              <w:t>INFRASTRUCTURE FINANCE SCS-SIF</w:t>
            </w:r>
          </w:p>
        </w:tc>
      </w:tr>
      <w:tr w:rsidR="00527B66" w:rsidRPr="00527B66" w14:paraId="2B63FF40" w14:textId="77777777" w:rsidTr="00775330">
        <w:tc>
          <w:tcPr>
            <w:tcW w:w="5000" w:type="pct"/>
            <w:shd w:val="clear" w:color="auto" w:fill="auto"/>
          </w:tcPr>
          <w:p w14:paraId="16EA08E5" w14:textId="77777777" w:rsidR="00527B66" w:rsidRPr="00527B66" w:rsidRDefault="00527B66" w:rsidP="00E045E0">
            <w:pPr>
              <w:spacing w:before="240" w:line="260" w:lineRule="atLeast"/>
              <w:ind w:left="193"/>
              <w:jc w:val="both"/>
              <w:rPr>
                <w:rFonts w:eastAsia="Calibri"/>
              </w:rPr>
            </w:pPr>
            <w:r w:rsidRPr="00527B66">
              <w:rPr>
                <w:rFonts w:eastAsia="Calibri"/>
              </w:rPr>
              <w:lastRenderedPageBreak/>
              <w:t>INFRASTRUCTURE FINANCES SCS EIS 2</w:t>
            </w:r>
          </w:p>
        </w:tc>
      </w:tr>
      <w:tr w:rsidR="00527B66" w:rsidRPr="00527B66" w14:paraId="6BCF3305" w14:textId="77777777" w:rsidTr="00775330">
        <w:tc>
          <w:tcPr>
            <w:tcW w:w="5000" w:type="pct"/>
            <w:shd w:val="clear" w:color="auto" w:fill="auto"/>
          </w:tcPr>
          <w:p w14:paraId="36440DB9" w14:textId="77777777" w:rsidR="00527B66" w:rsidRPr="00527B66" w:rsidRDefault="00527B66" w:rsidP="00E045E0">
            <w:pPr>
              <w:spacing w:before="240" w:line="260" w:lineRule="atLeast"/>
              <w:ind w:left="193"/>
              <w:jc w:val="both"/>
              <w:rPr>
                <w:rFonts w:eastAsia="Calibri"/>
              </w:rPr>
            </w:pPr>
            <w:r w:rsidRPr="00527B66">
              <w:rPr>
                <w:rFonts w:eastAsia="Calibri"/>
              </w:rPr>
              <w:t>DBJ EUROPE LIMITED</w:t>
            </w:r>
          </w:p>
        </w:tc>
      </w:tr>
      <w:tr w:rsidR="00527B66" w:rsidRPr="00527B66" w14:paraId="1FD1F6D1" w14:textId="77777777" w:rsidTr="00775330">
        <w:tc>
          <w:tcPr>
            <w:tcW w:w="5000" w:type="pct"/>
            <w:shd w:val="clear" w:color="auto" w:fill="auto"/>
          </w:tcPr>
          <w:p w14:paraId="06E5253B" w14:textId="77777777" w:rsidR="00527B66" w:rsidRPr="00527B66" w:rsidRDefault="00527B66" w:rsidP="00E045E0">
            <w:pPr>
              <w:spacing w:before="240" w:line="260" w:lineRule="atLeast"/>
              <w:ind w:left="193"/>
              <w:jc w:val="both"/>
              <w:rPr>
                <w:rFonts w:eastAsia="Calibri"/>
              </w:rPr>
            </w:pPr>
            <w:r w:rsidRPr="00527B66">
              <w:rPr>
                <w:rFonts w:eastAsia="Calibri"/>
              </w:rPr>
              <w:t>CM LIFE INSURANCE COMPANY</w:t>
            </w:r>
          </w:p>
        </w:tc>
      </w:tr>
      <w:tr w:rsidR="00527B66" w:rsidRPr="00527B66" w14:paraId="0DD13B41" w14:textId="77777777" w:rsidTr="00775330">
        <w:tc>
          <w:tcPr>
            <w:tcW w:w="5000" w:type="pct"/>
            <w:shd w:val="clear" w:color="auto" w:fill="auto"/>
          </w:tcPr>
          <w:p w14:paraId="54F6741C" w14:textId="77777777" w:rsidR="00527B66" w:rsidRPr="00527B66" w:rsidRDefault="00527B66" w:rsidP="00E045E0">
            <w:pPr>
              <w:spacing w:before="240" w:line="260" w:lineRule="atLeast"/>
              <w:ind w:left="193"/>
              <w:jc w:val="both"/>
              <w:rPr>
                <w:rFonts w:eastAsia="Calibri"/>
              </w:rPr>
            </w:pPr>
            <w:r w:rsidRPr="00527B66">
              <w:rPr>
                <w:rFonts w:eastAsia="Calibri"/>
              </w:rPr>
              <w:t>MASSACHUSETTS MUTUAL LIFE INSURANCE COMPANY</w:t>
            </w:r>
          </w:p>
        </w:tc>
      </w:tr>
      <w:tr w:rsidR="00527B66" w:rsidRPr="00527B66" w14:paraId="1E0481D5" w14:textId="77777777" w:rsidTr="00775330">
        <w:tc>
          <w:tcPr>
            <w:tcW w:w="5000" w:type="pct"/>
            <w:shd w:val="clear" w:color="auto" w:fill="auto"/>
          </w:tcPr>
          <w:p w14:paraId="2EDAE15D" w14:textId="77777777" w:rsidR="00527B66" w:rsidRPr="00527B66" w:rsidRDefault="00527B66" w:rsidP="00E045E0">
            <w:pPr>
              <w:spacing w:before="240" w:line="260" w:lineRule="atLeast"/>
              <w:ind w:left="193"/>
              <w:jc w:val="both"/>
              <w:rPr>
                <w:rFonts w:eastAsia="Calibri"/>
              </w:rPr>
            </w:pPr>
            <w:r w:rsidRPr="00527B66">
              <w:rPr>
                <w:rFonts w:eastAsia="Calibri"/>
              </w:rPr>
              <w:t>ROYAL &amp; SUN ALLIANCE INSURANCE PLC</w:t>
            </w:r>
          </w:p>
        </w:tc>
      </w:tr>
      <w:tr w:rsidR="00527B66" w:rsidRPr="00527B66" w14:paraId="3E8BE77F" w14:textId="77777777" w:rsidTr="00775330">
        <w:tc>
          <w:tcPr>
            <w:tcW w:w="5000" w:type="pct"/>
            <w:shd w:val="clear" w:color="auto" w:fill="auto"/>
          </w:tcPr>
          <w:p w14:paraId="2DF58213" w14:textId="77777777" w:rsidR="00527B66" w:rsidRPr="00527B66" w:rsidRDefault="00527B66" w:rsidP="00E045E0">
            <w:pPr>
              <w:spacing w:before="240" w:line="260" w:lineRule="atLeast"/>
              <w:ind w:left="193"/>
              <w:jc w:val="both"/>
              <w:rPr>
                <w:rFonts w:eastAsia="Calibri"/>
              </w:rPr>
            </w:pPr>
            <w:r w:rsidRPr="00527B66">
              <w:rPr>
                <w:rFonts w:eastAsia="Calibri"/>
              </w:rPr>
              <w:t>CODAN FORSIKRING A/S</w:t>
            </w:r>
          </w:p>
        </w:tc>
      </w:tr>
      <w:tr w:rsidR="00527B66" w:rsidRPr="00527B66" w14:paraId="6FFABFB4" w14:textId="77777777" w:rsidTr="00775330">
        <w:tc>
          <w:tcPr>
            <w:tcW w:w="5000" w:type="pct"/>
            <w:shd w:val="clear" w:color="auto" w:fill="auto"/>
          </w:tcPr>
          <w:p w14:paraId="183CCFC0" w14:textId="77777777" w:rsidR="00527B66" w:rsidRPr="00527B66" w:rsidRDefault="00527B66" w:rsidP="00E045E0">
            <w:pPr>
              <w:spacing w:before="240" w:line="260" w:lineRule="atLeast"/>
              <w:ind w:left="193"/>
              <w:jc w:val="both"/>
              <w:rPr>
                <w:rFonts w:eastAsia="Calibri"/>
              </w:rPr>
            </w:pPr>
            <w:r w:rsidRPr="00527B66">
              <w:rPr>
                <w:rFonts w:eastAsia="Calibri"/>
              </w:rPr>
              <w:t>RIVAGE EURO DETTE INFRASTRUCTURE 1</w:t>
            </w:r>
          </w:p>
        </w:tc>
      </w:tr>
      <w:tr w:rsidR="00527B66" w:rsidRPr="00527B66" w14:paraId="73962422" w14:textId="77777777" w:rsidTr="00775330">
        <w:tc>
          <w:tcPr>
            <w:tcW w:w="5000" w:type="pct"/>
            <w:shd w:val="clear" w:color="auto" w:fill="auto"/>
          </w:tcPr>
          <w:p w14:paraId="01995D1F" w14:textId="77777777" w:rsidR="00527B66" w:rsidRPr="00527B66" w:rsidRDefault="00527B66" w:rsidP="00E045E0">
            <w:pPr>
              <w:spacing w:before="240" w:line="260" w:lineRule="atLeast"/>
              <w:ind w:left="193"/>
              <w:jc w:val="both"/>
              <w:rPr>
                <w:rFonts w:eastAsia="Calibri"/>
              </w:rPr>
            </w:pPr>
            <w:r w:rsidRPr="00527B66">
              <w:rPr>
                <w:rFonts w:eastAsia="Calibri"/>
              </w:rPr>
              <w:t>RIVAGE EURO DEBT INFRASTRUCTURE 2</w:t>
            </w:r>
          </w:p>
        </w:tc>
      </w:tr>
      <w:tr w:rsidR="00527B66" w:rsidRPr="00527B66" w14:paraId="136DDB50" w14:textId="77777777" w:rsidTr="00775330">
        <w:tc>
          <w:tcPr>
            <w:tcW w:w="5000" w:type="pct"/>
            <w:shd w:val="clear" w:color="auto" w:fill="auto"/>
          </w:tcPr>
          <w:p w14:paraId="61F51D31" w14:textId="77777777" w:rsidR="00527B66" w:rsidRPr="00527B66" w:rsidRDefault="00527B66" w:rsidP="00E045E0">
            <w:pPr>
              <w:spacing w:before="240" w:line="260" w:lineRule="atLeast"/>
              <w:ind w:left="193"/>
              <w:jc w:val="both"/>
              <w:rPr>
                <w:rFonts w:eastAsia="Calibri"/>
              </w:rPr>
            </w:pPr>
            <w:r w:rsidRPr="00527B66">
              <w:rPr>
                <w:rFonts w:eastAsia="Calibri"/>
              </w:rPr>
              <w:t>ARGUIN INFRASTRUCTURE</w:t>
            </w:r>
          </w:p>
        </w:tc>
      </w:tr>
      <w:tr w:rsidR="00527B66" w:rsidRPr="00527B66" w14:paraId="5E0F83F8" w14:textId="77777777" w:rsidTr="00775330">
        <w:tc>
          <w:tcPr>
            <w:tcW w:w="5000" w:type="pct"/>
            <w:shd w:val="clear" w:color="auto" w:fill="auto"/>
          </w:tcPr>
          <w:p w14:paraId="78833EDC" w14:textId="77777777" w:rsidR="00527B66" w:rsidRPr="00527B66" w:rsidRDefault="00527B66" w:rsidP="00E045E0">
            <w:pPr>
              <w:spacing w:before="240" w:line="260" w:lineRule="atLeast"/>
              <w:ind w:left="193"/>
              <w:jc w:val="both"/>
              <w:rPr>
                <w:rFonts w:eastAsia="Calibri"/>
              </w:rPr>
            </w:pPr>
            <w:r w:rsidRPr="00527B66">
              <w:rPr>
                <w:rFonts w:eastAsia="Calibri"/>
              </w:rPr>
              <w:t>SUMITOMO MITSUI BANKING CORPORATION, BRUSSELS BRANCH</w:t>
            </w:r>
          </w:p>
        </w:tc>
      </w:tr>
      <w:tr w:rsidR="00527B66" w:rsidRPr="00527B66" w14:paraId="73735757" w14:textId="77777777" w:rsidTr="00775330">
        <w:tc>
          <w:tcPr>
            <w:tcW w:w="5000" w:type="pct"/>
            <w:shd w:val="clear" w:color="auto" w:fill="auto"/>
          </w:tcPr>
          <w:p w14:paraId="1446994A" w14:textId="77777777" w:rsidR="00527B66" w:rsidRPr="00527B66" w:rsidRDefault="00527B66" w:rsidP="00E045E0">
            <w:pPr>
              <w:spacing w:before="240" w:line="260" w:lineRule="atLeast"/>
              <w:ind w:left="193"/>
              <w:jc w:val="both"/>
              <w:rPr>
                <w:rFonts w:eastAsia="Calibri"/>
              </w:rPr>
            </w:pPr>
            <w:r w:rsidRPr="00527B66">
              <w:rPr>
                <w:rFonts w:eastAsia="Calibri"/>
              </w:rPr>
              <w:t>PRO BAV PENSIONSKASSE AG</w:t>
            </w:r>
          </w:p>
        </w:tc>
      </w:tr>
    </w:tbl>
    <w:p w14:paraId="2AEA8BEF" w14:textId="77777777" w:rsidR="007670D2" w:rsidRPr="007163F1" w:rsidRDefault="00527B66" w:rsidP="007E2625">
      <w:pPr>
        <w:numPr>
          <w:ilvl w:val="0"/>
          <w:numId w:val="41"/>
        </w:numPr>
        <w:spacing w:before="240" w:line="260" w:lineRule="atLeast"/>
        <w:jc w:val="both"/>
        <w:outlineLvl w:val="4"/>
        <w:rPr>
          <w:rFonts w:eastAsia="Calibri"/>
          <w:b/>
          <w:u w:val="single"/>
          <w:lang w:val="es-ES"/>
        </w:rPr>
      </w:pPr>
      <w:r w:rsidRPr="007163F1">
        <w:rPr>
          <w:rFonts w:eastAsia="Calibri"/>
          <w:b/>
          <w:u w:val="single"/>
          <w:lang w:val="es-ES"/>
        </w:rPr>
        <w:t xml:space="preserve">Entidades Financiadoras Originales IFA/ </w:t>
      </w:r>
      <w:proofErr w:type="spellStart"/>
      <w:r w:rsidRPr="007163F1">
        <w:rPr>
          <w:rFonts w:eastAsia="Calibri"/>
          <w:b/>
          <w:u w:val="single"/>
          <w:lang w:val="es-ES"/>
        </w:rPr>
        <w:t>the</w:t>
      </w:r>
      <w:proofErr w:type="spellEnd"/>
      <w:r w:rsidRPr="007163F1">
        <w:rPr>
          <w:rFonts w:eastAsia="Calibri"/>
          <w:b/>
          <w:u w:val="single"/>
          <w:lang w:val="es-ES"/>
        </w:rPr>
        <w:t xml:space="preserve"> Original IFA </w:t>
      </w:r>
      <w:proofErr w:type="spellStart"/>
      <w:r w:rsidRPr="007163F1">
        <w:rPr>
          <w:rFonts w:eastAsia="Calibri"/>
          <w:b/>
          <w:u w:val="single"/>
          <w:lang w:val="es-ES"/>
        </w:rPr>
        <w:t>Lenders</w:t>
      </w:r>
      <w:proofErr w:type="spellEnd"/>
    </w:p>
    <w:p w14:paraId="030715E3" w14:textId="77777777" w:rsidR="00527B66" w:rsidRPr="007670D2" w:rsidRDefault="00527B66" w:rsidP="00E045E0">
      <w:pPr>
        <w:spacing w:before="240" w:line="260" w:lineRule="atLeast"/>
        <w:ind w:left="709"/>
        <w:jc w:val="both"/>
        <w:outlineLvl w:val="4"/>
        <w:rPr>
          <w:rFonts w:eastAsia="Calibri"/>
          <w:b/>
          <w:u w:val="single"/>
        </w:rPr>
      </w:pPr>
      <w:r w:rsidRPr="007670D2">
        <w:rPr>
          <w:rFonts w:eastAsia="Calibri"/>
        </w:rPr>
        <w:t>INFRASTRUCTURE FINANCE SCS-SIF, acting through and in respect of its Compartment European Infra Senior (floating) 2</w:t>
      </w:r>
    </w:p>
    <w:p w14:paraId="41DF5292" w14:textId="77777777" w:rsidR="00527B66" w:rsidRPr="00527B66" w:rsidRDefault="00527B66" w:rsidP="007E2625">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 xml:space="preserve">Las Compradoras Originales/The Original </w:t>
      </w:r>
      <w:proofErr w:type="spellStart"/>
      <w:r w:rsidRPr="00527B66">
        <w:rPr>
          <w:rFonts w:eastAsia="Calibri"/>
          <w:b/>
          <w:u w:val="single"/>
          <w:lang w:val="es-ES"/>
        </w:rPr>
        <w:t>Purchasers</w:t>
      </w:r>
      <w:proofErr w:type="spellEnd"/>
    </w:p>
    <w:tbl>
      <w:tblPr>
        <w:tblW w:w="4886" w:type="pct"/>
        <w:tblInd w:w="399" w:type="dxa"/>
        <w:tblLayout w:type="fixed"/>
        <w:tblCellMar>
          <w:left w:w="115" w:type="dxa"/>
          <w:right w:w="115" w:type="dxa"/>
        </w:tblCellMar>
        <w:tblLook w:val="04A0" w:firstRow="1" w:lastRow="0" w:firstColumn="1" w:lastColumn="0" w:noHBand="0" w:noVBand="1"/>
      </w:tblPr>
      <w:tblGrid>
        <w:gridCol w:w="9418"/>
      </w:tblGrid>
      <w:tr w:rsidR="00527B66" w:rsidRPr="00527B66" w14:paraId="66493D64" w14:textId="77777777" w:rsidTr="00775330">
        <w:tc>
          <w:tcPr>
            <w:tcW w:w="5000" w:type="pct"/>
            <w:shd w:val="clear" w:color="auto" w:fill="auto"/>
          </w:tcPr>
          <w:p w14:paraId="2F6F9238" w14:textId="77777777" w:rsidR="00527B66" w:rsidRPr="00527B66" w:rsidRDefault="00527B66" w:rsidP="00E045E0">
            <w:pPr>
              <w:spacing w:before="240" w:line="260" w:lineRule="atLeast"/>
              <w:ind w:left="193"/>
              <w:jc w:val="both"/>
              <w:rPr>
                <w:rFonts w:eastAsia="Calibri"/>
              </w:rPr>
            </w:pPr>
            <w:r w:rsidRPr="00527B66">
              <w:rPr>
                <w:rFonts w:eastAsia="Calibri"/>
              </w:rPr>
              <w:t>ATHENE ANNUITY AND LIFE COMPANY</w:t>
            </w:r>
          </w:p>
        </w:tc>
      </w:tr>
      <w:tr w:rsidR="00527B66" w:rsidRPr="00527B66" w14:paraId="7E1E5C84" w14:textId="77777777" w:rsidTr="00775330">
        <w:tc>
          <w:tcPr>
            <w:tcW w:w="5000" w:type="pct"/>
            <w:shd w:val="clear" w:color="auto" w:fill="auto"/>
          </w:tcPr>
          <w:p w14:paraId="22C5175F" w14:textId="77777777" w:rsidR="00527B66" w:rsidRPr="00527B66" w:rsidRDefault="00527B66" w:rsidP="00E045E0">
            <w:pPr>
              <w:spacing w:before="240" w:line="260" w:lineRule="atLeast"/>
              <w:ind w:left="193"/>
              <w:jc w:val="both"/>
              <w:rPr>
                <w:rFonts w:eastAsia="Calibri"/>
              </w:rPr>
            </w:pPr>
            <w:r w:rsidRPr="00527B66">
              <w:rPr>
                <w:rFonts w:eastAsia="Calibri"/>
              </w:rPr>
              <w:t>ATHENE ANNUITY &amp; LIFE ASSURANCE COMPANY</w:t>
            </w:r>
          </w:p>
        </w:tc>
      </w:tr>
      <w:tr w:rsidR="00527B66" w:rsidRPr="00527B66" w14:paraId="691A00EE" w14:textId="77777777" w:rsidTr="00775330">
        <w:tc>
          <w:tcPr>
            <w:tcW w:w="5000" w:type="pct"/>
            <w:shd w:val="clear" w:color="auto" w:fill="auto"/>
          </w:tcPr>
          <w:p w14:paraId="6DD03F51" w14:textId="77777777" w:rsidR="00527B66" w:rsidRPr="00527B66" w:rsidRDefault="00527B66" w:rsidP="00E045E0">
            <w:pPr>
              <w:spacing w:before="240" w:line="260" w:lineRule="atLeast"/>
              <w:ind w:left="193"/>
              <w:jc w:val="both"/>
              <w:rPr>
                <w:rFonts w:eastAsia="Calibri"/>
              </w:rPr>
            </w:pPr>
            <w:r w:rsidRPr="00527B66">
              <w:rPr>
                <w:rFonts w:eastAsia="Calibri"/>
              </w:rPr>
              <w:t>MASSACHUSETTS MUTUAL LIFE INSURANCE COMPANY</w:t>
            </w:r>
          </w:p>
        </w:tc>
      </w:tr>
      <w:tr w:rsidR="00527B66" w:rsidRPr="00527B66" w14:paraId="6C630E76" w14:textId="77777777" w:rsidTr="00775330">
        <w:tc>
          <w:tcPr>
            <w:tcW w:w="5000" w:type="pct"/>
            <w:shd w:val="clear" w:color="auto" w:fill="auto"/>
          </w:tcPr>
          <w:p w14:paraId="25A2AA11" w14:textId="77777777" w:rsidR="00527B66" w:rsidRPr="00527B66" w:rsidRDefault="00527B66" w:rsidP="00E045E0">
            <w:pPr>
              <w:spacing w:before="240" w:line="260" w:lineRule="atLeast"/>
              <w:ind w:left="193"/>
              <w:jc w:val="both"/>
              <w:rPr>
                <w:rFonts w:eastAsia="Calibri"/>
              </w:rPr>
            </w:pPr>
            <w:r w:rsidRPr="00527B66">
              <w:rPr>
                <w:rFonts w:eastAsia="Calibri"/>
              </w:rPr>
              <w:t>BRIGHTHOUSE LIFE INSURANCE COMPANY</w:t>
            </w:r>
          </w:p>
        </w:tc>
      </w:tr>
      <w:tr w:rsidR="00527B66" w:rsidRPr="00527B66" w14:paraId="2F6ADF60" w14:textId="77777777" w:rsidTr="00775330">
        <w:tc>
          <w:tcPr>
            <w:tcW w:w="5000" w:type="pct"/>
            <w:shd w:val="clear" w:color="auto" w:fill="auto"/>
          </w:tcPr>
          <w:p w14:paraId="2F2EBF3A" w14:textId="77777777" w:rsidR="00527B66" w:rsidRPr="00527B66" w:rsidRDefault="00527B66" w:rsidP="00E045E0">
            <w:pPr>
              <w:spacing w:before="240" w:line="260" w:lineRule="atLeast"/>
              <w:ind w:left="193"/>
              <w:jc w:val="both"/>
              <w:rPr>
                <w:rFonts w:eastAsia="Calibri"/>
              </w:rPr>
            </w:pPr>
            <w:r w:rsidRPr="00527B66">
              <w:rPr>
                <w:rFonts w:eastAsia="Calibri"/>
              </w:rPr>
              <w:t>METROPOLITAN LIFE INSURANCE COMPANY</w:t>
            </w:r>
          </w:p>
        </w:tc>
      </w:tr>
      <w:tr w:rsidR="00527B66" w:rsidRPr="00527B66" w14:paraId="7EE91F06" w14:textId="77777777" w:rsidTr="00775330">
        <w:tc>
          <w:tcPr>
            <w:tcW w:w="5000" w:type="pct"/>
            <w:shd w:val="clear" w:color="auto" w:fill="auto"/>
          </w:tcPr>
          <w:p w14:paraId="32082E68" w14:textId="77777777" w:rsidR="00527B66" w:rsidRPr="00527B66" w:rsidRDefault="00527B66" w:rsidP="00E045E0">
            <w:pPr>
              <w:spacing w:before="240" w:line="260" w:lineRule="atLeast"/>
              <w:ind w:left="193"/>
              <w:jc w:val="both"/>
              <w:rPr>
                <w:rFonts w:eastAsia="Calibri"/>
              </w:rPr>
            </w:pPr>
            <w:r w:rsidRPr="00527B66">
              <w:rPr>
                <w:rFonts w:eastAsia="Calibri"/>
              </w:rPr>
              <w:t xml:space="preserve">METROPOLITAN TOWER LIFE INSURANCE COMPANY </w:t>
            </w:r>
          </w:p>
        </w:tc>
      </w:tr>
      <w:tr w:rsidR="00527B66" w:rsidRPr="00527B66" w14:paraId="6016137C" w14:textId="77777777" w:rsidTr="00775330">
        <w:tc>
          <w:tcPr>
            <w:tcW w:w="5000" w:type="pct"/>
            <w:shd w:val="clear" w:color="auto" w:fill="auto"/>
          </w:tcPr>
          <w:p w14:paraId="505821D0" w14:textId="77777777" w:rsidR="00527B66" w:rsidRPr="00527B66" w:rsidRDefault="00527B66" w:rsidP="00E045E0">
            <w:pPr>
              <w:spacing w:before="240" w:line="260" w:lineRule="atLeast"/>
              <w:ind w:left="193"/>
              <w:jc w:val="both"/>
              <w:rPr>
                <w:rFonts w:eastAsia="Calibri"/>
              </w:rPr>
            </w:pPr>
            <w:r w:rsidRPr="00527B66">
              <w:rPr>
                <w:rFonts w:eastAsia="Calibri"/>
              </w:rPr>
              <w:t>PENSIONSKASSE DES BUNDES PUBLICA</w:t>
            </w:r>
          </w:p>
        </w:tc>
      </w:tr>
      <w:tr w:rsidR="00527B66" w:rsidRPr="00527B66" w14:paraId="0B71C9D2" w14:textId="77777777" w:rsidTr="00775330">
        <w:tc>
          <w:tcPr>
            <w:tcW w:w="5000" w:type="pct"/>
            <w:shd w:val="clear" w:color="auto" w:fill="auto"/>
          </w:tcPr>
          <w:p w14:paraId="49F65D9A" w14:textId="77777777" w:rsidR="00527B66" w:rsidRPr="00527B66" w:rsidRDefault="00527B66" w:rsidP="00E045E0">
            <w:pPr>
              <w:spacing w:before="240" w:line="260" w:lineRule="atLeast"/>
              <w:ind w:left="193"/>
              <w:jc w:val="both"/>
              <w:rPr>
                <w:rFonts w:eastAsia="Calibri"/>
              </w:rPr>
            </w:pPr>
            <w:r w:rsidRPr="00527B66">
              <w:rPr>
                <w:rFonts w:eastAsia="Calibri"/>
              </w:rPr>
              <w:t>ATHENE ANNUITY &amp; LIFE ASSURANCE COMPANY OF NEW YORK</w:t>
            </w:r>
          </w:p>
        </w:tc>
      </w:tr>
    </w:tbl>
    <w:p w14:paraId="27582DD8" w14:textId="77777777" w:rsidR="00527B66" w:rsidRPr="00527B66" w:rsidRDefault="00527B66" w:rsidP="007E2625">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Las Entidades de Cobertura Originales/</w:t>
      </w:r>
      <w:proofErr w:type="spellStart"/>
      <w:r w:rsidRPr="00527B66">
        <w:rPr>
          <w:rFonts w:eastAsia="Calibri"/>
          <w:b/>
          <w:u w:val="single"/>
          <w:lang w:val="es-ES"/>
        </w:rPr>
        <w:t>the</w:t>
      </w:r>
      <w:proofErr w:type="spellEnd"/>
      <w:r w:rsidRPr="00527B66">
        <w:rPr>
          <w:rFonts w:eastAsia="Calibri"/>
          <w:b/>
          <w:u w:val="single"/>
          <w:lang w:val="es-ES"/>
        </w:rPr>
        <w:t xml:space="preserve"> Original </w:t>
      </w:r>
      <w:proofErr w:type="spellStart"/>
      <w:r w:rsidRPr="00527B66">
        <w:rPr>
          <w:rFonts w:eastAsia="Calibri"/>
          <w:b/>
          <w:u w:val="single"/>
          <w:lang w:val="es-ES"/>
        </w:rPr>
        <w:t>Hedge</w:t>
      </w:r>
      <w:proofErr w:type="spellEnd"/>
      <w:r w:rsidRPr="00527B66">
        <w:rPr>
          <w:rFonts w:eastAsia="Calibri"/>
          <w:b/>
          <w:u w:val="single"/>
          <w:lang w:val="es-ES"/>
        </w:rPr>
        <w:t xml:space="preserve"> </w:t>
      </w:r>
      <w:proofErr w:type="spellStart"/>
      <w:r w:rsidRPr="00527B66">
        <w:rPr>
          <w:rFonts w:eastAsia="Calibri"/>
          <w:b/>
          <w:u w:val="single"/>
          <w:lang w:val="es-ES"/>
        </w:rPr>
        <w:t>Counterparties</w:t>
      </w:r>
      <w:proofErr w:type="spellEnd"/>
    </w:p>
    <w:tbl>
      <w:tblPr>
        <w:tblW w:w="4886" w:type="pct"/>
        <w:tblInd w:w="399" w:type="dxa"/>
        <w:tblLayout w:type="fixed"/>
        <w:tblCellMar>
          <w:left w:w="115" w:type="dxa"/>
          <w:right w:w="115" w:type="dxa"/>
        </w:tblCellMar>
        <w:tblLook w:val="04A0" w:firstRow="1" w:lastRow="0" w:firstColumn="1" w:lastColumn="0" w:noHBand="0" w:noVBand="1"/>
      </w:tblPr>
      <w:tblGrid>
        <w:gridCol w:w="9418"/>
      </w:tblGrid>
      <w:tr w:rsidR="00527B66" w:rsidRPr="00527B66" w14:paraId="3F956907" w14:textId="77777777" w:rsidTr="00775330">
        <w:tc>
          <w:tcPr>
            <w:tcW w:w="2538" w:type="pct"/>
            <w:shd w:val="clear" w:color="auto" w:fill="auto"/>
          </w:tcPr>
          <w:p w14:paraId="7CE385EA" w14:textId="77777777" w:rsidR="00527B66" w:rsidRPr="00527B66" w:rsidRDefault="00527B66" w:rsidP="00E045E0">
            <w:pPr>
              <w:spacing w:before="240" w:line="260" w:lineRule="atLeast"/>
              <w:ind w:left="193"/>
              <w:jc w:val="both"/>
              <w:rPr>
                <w:rFonts w:eastAsia="Calibri"/>
              </w:rPr>
            </w:pPr>
            <w:r w:rsidRPr="00527B66">
              <w:rPr>
                <w:rFonts w:eastAsia="Calibri"/>
              </w:rPr>
              <w:t>BARCLAYS BANK PLC</w:t>
            </w:r>
          </w:p>
        </w:tc>
      </w:tr>
      <w:tr w:rsidR="00527B66" w:rsidRPr="00A4106E" w14:paraId="12F7EB11" w14:textId="77777777" w:rsidTr="00775330">
        <w:tc>
          <w:tcPr>
            <w:tcW w:w="2538" w:type="pct"/>
            <w:shd w:val="clear" w:color="auto" w:fill="auto"/>
          </w:tcPr>
          <w:p w14:paraId="61EB17AB" w14:textId="77777777" w:rsidR="00527B66" w:rsidRPr="00415668" w:rsidRDefault="00527B66" w:rsidP="00E045E0">
            <w:pPr>
              <w:spacing w:before="240" w:line="260" w:lineRule="atLeast"/>
              <w:ind w:left="193"/>
              <w:jc w:val="both"/>
              <w:rPr>
                <w:rFonts w:eastAsia="Calibri"/>
                <w:lang w:val="fr-FR"/>
              </w:rPr>
            </w:pPr>
            <w:r w:rsidRPr="00415668">
              <w:rPr>
                <w:rFonts w:eastAsia="Calibri"/>
                <w:lang w:val="fr-FR"/>
              </w:rPr>
              <w:t>CIBC CAPITAL MARKETS (EUROPE) S.A.</w:t>
            </w:r>
          </w:p>
        </w:tc>
      </w:tr>
      <w:tr w:rsidR="00527B66" w:rsidRPr="00527B66" w14:paraId="775265C4" w14:textId="77777777" w:rsidTr="00775330">
        <w:tc>
          <w:tcPr>
            <w:tcW w:w="2538" w:type="pct"/>
            <w:shd w:val="clear" w:color="auto" w:fill="auto"/>
          </w:tcPr>
          <w:p w14:paraId="4C01ACE3" w14:textId="77777777" w:rsidR="00527B66" w:rsidRPr="00527B66" w:rsidRDefault="00527B66" w:rsidP="00E045E0">
            <w:pPr>
              <w:spacing w:before="240" w:line="260" w:lineRule="atLeast"/>
              <w:ind w:left="193"/>
              <w:jc w:val="both"/>
              <w:rPr>
                <w:rFonts w:eastAsia="Calibri"/>
              </w:rPr>
            </w:pPr>
            <w:r w:rsidRPr="00527B66">
              <w:rPr>
                <w:rFonts w:eastAsia="Calibri"/>
              </w:rPr>
              <w:t>HAMBURG COMMERCIAL BANK AG</w:t>
            </w:r>
          </w:p>
        </w:tc>
      </w:tr>
      <w:tr w:rsidR="00527B66" w:rsidRPr="00527B66" w14:paraId="20705377" w14:textId="77777777" w:rsidTr="00775330">
        <w:tc>
          <w:tcPr>
            <w:tcW w:w="2538" w:type="pct"/>
            <w:shd w:val="clear" w:color="auto" w:fill="auto"/>
          </w:tcPr>
          <w:p w14:paraId="2F170039" w14:textId="77777777" w:rsidR="00527B66" w:rsidRPr="00527B66" w:rsidRDefault="00527B66" w:rsidP="00E045E0">
            <w:pPr>
              <w:spacing w:before="240" w:line="260" w:lineRule="atLeast"/>
              <w:ind w:left="193"/>
              <w:jc w:val="both"/>
              <w:rPr>
                <w:rFonts w:eastAsia="Calibri"/>
              </w:rPr>
            </w:pPr>
            <w:r w:rsidRPr="00527B66">
              <w:rPr>
                <w:rFonts w:eastAsia="Calibri"/>
              </w:rPr>
              <w:t>ING BANK N.V.</w:t>
            </w:r>
          </w:p>
        </w:tc>
      </w:tr>
      <w:tr w:rsidR="00527B66" w:rsidRPr="00527B66" w14:paraId="520C8BB9" w14:textId="77777777" w:rsidTr="00775330">
        <w:tc>
          <w:tcPr>
            <w:tcW w:w="2538" w:type="pct"/>
            <w:shd w:val="clear" w:color="auto" w:fill="auto"/>
          </w:tcPr>
          <w:p w14:paraId="103EBE05" w14:textId="4556EA76" w:rsidR="00527B66" w:rsidRPr="00527B66" w:rsidRDefault="00527B66" w:rsidP="00F25678">
            <w:pPr>
              <w:spacing w:before="240" w:line="260" w:lineRule="atLeast"/>
              <w:ind w:left="193"/>
              <w:jc w:val="both"/>
              <w:rPr>
                <w:rFonts w:eastAsia="Calibri"/>
              </w:rPr>
            </w:pPr>
            <w:r w:rsidRPr="00527B66">
              <w:rPr>
                <w:rFonts w:eastAsia="Calibri"/>
              </w:rPr>
              <w:lastRenderedPageBreak/>
              <w:t xml:space="preserve">MUFG </w:t>
            </w:r>
            <w:r w:rsidR="00F25678">
              <w:rPr>
                <w:rFonts w:eastAsia="Calibri"/>
              </w:rPr>
              <w:t>Bank, Ltd</w:t>
            </w:r>
          </w:p>
        </w:tc>
      </w:tr>
      <w:tr w:rsidR="00527B66" w:rsidRPr="00527B66" w14:paraId="64CAE8DD" w14:textId="77777777" w:rsidTr="00775330">
        <w:tc>
          <w:tcPr>
            <w:tcW w:w="2538" w:type="pct"/>
            <w:shd w:val="clear" w:color="auto" w:fill="auto"/>
          </w:tcPr>
          <w:p w14:paraId="4659241B" w14:textId="77777777" w:rsidR="00527B66" w:rsidRPr="00527B66" w:rsidRDefault="00527B66" w:rsidP="00E045E0">
            <w:pPr>
              <w:spacing w:before="240" w:line="260" w:lineRule="atLeast"/>
              <w:ind w:left="193"/>
              <w:jc w:val="both"/>
              <w:rPr>
                <w:rFonts w:eastAsia="Calibri"/>
              </w:rPr>
            </w:pPr>
            <w:r w:rsidRPr="00527B66">
              <w:rPr>
                <w:rFonts w:eastAsia="Calibri"/>
              </w:rPr>
              <w:t>BANCO SANTANDER, S.A.</w:t>
            </w:r>
          </w:p>
        </w:tc>
      </w:tr>
      <w:tr w:rsidR="00527B66" w:rsidRPr="00527B66" w14:paraId="56BF76B3" w14:textId="77777777" w:rsidTr="00775330">
        <w:tc>
          <w:tcPr>
            <w:tcW w:w="2538" w:type="pct"/>
            <w:shd w:val="clear" w:color="auto" w:fill="auto"/>
          </w:tcPr>
          <w:p w14:paraId="575443F2" w14:textId="77777777" w:rsidR="00527B66" w:rsidRPr="00527B66" w:rsidRDefault="00527B66" w:rsidP="00E045E0">
            <w:pPr>
              <w:spacing w:before="240" w:line="260" w:lineRule="atLeast"/>
              <w:ind w:left="193"/>
              <w:jc w:val="both"/>
              <w:rPr>
                <w:rFonts w:eastAsia="Calibri"/>
              </w:rPr>
            </w:pPr>
            <w:r w:rsidRPr="00527B66">
              <w:rPr>
                <w:rFonts w:eastAsia="Calibri"/>
              </w:rPr>
              <w:t>SUMITOMO MITSUI BANKING CORPORATION, BRUSSELS BRANCH</w:t>
            </w:r>
          </w:p>
        </w:tc>
      </w:tr>
    </w:tbl>
    <w:p w14:paraId="0A399E6D" w14:textId="77777777" w:rsidR="00527B66" w:rsidRPr="00527B66" w:rsidRDefault="00527B66" w:rsidP="007E2625">
      <w:pPr>
        <w:numPr>
          <w:ilvl w:val="0"/>
          <w:numId w:val="41"/>
        </w:numPr>
        <w:spacing w:before="240" w:line="260" w:lineRule="atLeast"/>
        <w:jc w:val="both"/>
        <w:outlineLvl w:val="4"/>
        <w:rPr>
          <w:rFonts w:eastAsia="Calibri"/>
          <w:b/>
          <w:u w:val="single"/>
          <w:lang w:val="es-ES" w:eastAsia="en-GB" w:bidi="en-GB"/>
        </w:rPr>
      </w:pPr>
      <w:r w:rsidRPr="00527B66">
        <w:rPr>
          <w:rFonts w:eastAsia="Calibri"/>
          <w:b/>
          <w:u w:val="single"/>
          <w:lang w:val="es-ES"/>
        </w:rPr>
        <w:t>El Representante del Contrato de Compra de Instrumentos de Deuda</w:t>
      </w:r>
      <w:r w:rsidRPr="00527B66">
        <w:rPr>
          <w:rFonts w:eastAsia="Calibri"/>
          <w:b/>
          <w:i/>
          <w:u w:val="single"/>
          <w:lang w:val="es-ES"/>
        </w:rPr>
        <w:t xml:space="preserve"> </w:t>
      </w:r>
      <w:r w:rsidRPr="00527B66">
        <w:rPr>
          <w:rFonts w:eastAsia="Calibri"/>
          <w:b/>
          <w:u w:val="single"/>
          <w:lang w:val="es-ES"/>
        </w:rPr>
        <w:t xml:space="preserve">PP, el Agente IBFA y el Agente IFA/ </w:t>
      </w:r>
      <w:proofErr w:type="spellStart"/>
      <w:r w:rsidRPr="00527B66">
        <w:rPr>
          <w:rFonts w:eastAsia="Calibri"/>
          <w:b/>
          <w:u w:val="single"/>
          <w:lang w:val="es-ES"/>
        </w:rPr>
        <w:t>the</w:t>
      </w:r>
      <w:proofErr w:type="spellEnd"/>
      <w:r w:rsidRPr="00527B66">
        <w:rPr>
          <w:rFonts w:eastAsia="Calibri"/>
          <w:b/>
          <w:u w:val="single"/>
          <w:lang w:val="es-ES"/>
        </w:rPr>
        <w:t xml:space="preserve"> </w:t>
      </w:r>
      <w:r w:rsidRPr="00527B66">
        <w:rPr>
          <w:rFonts w:eastAsia="Calibri"/>
          <w:b/>
          <w:u w:val="single"/>
          <w:lang w:val="es-ES" w:eastAsia="en-GB" w:bidi="en-GB"/>
        </w:rPr>
        <w:t xml:space="preserve">PP </w:t>
      </w:r>
      <w:proofErr w:type="spellStart"/>
      <w:r w:rsidRPr="00527B66">
        <w:rPr>
          <w:rFonts w:eastAsia="Calibri"/>
          <w:b/>
          <w:u w:val="single"/>
          <w:lang w:val="es-ES" w:eastAsia="en-GB" w:bidi="en-GB"/>
        </w:rPr>
        <w:t>Creditor</w:t>
      </w:r>
      <w:proofErr w:type="spellEnd"/>
      <w:r w:rsidRPr="00527B66">
        <w:rPr>
          <w:rFonts w:eastAsia="Calibri"/>
          <w:b/>
          <w:u w:val="single"/>
          <w:lang w:val="es-ES" w:eastAsia="en-GB" w:bidi="en-GB"/>
        </w:rPr>
        <w:t xml:space="preserve"> </w:t>
      </w:r>
      <w:proofErr w:type="spellStart"/>
      <w:r w:rsidRPr="00527B66">
        <w:rPr>
          <w:rFonts w:eastAsia="Calibri"/>
          <w:b/>
          <w:u w:val="single"/>
          <w:lang w:val="es-ES" w:eastAsia="en-GB" w:bidi="en-GB"/>
        </w:rPr>
        <w:t>Secured</w:t>
      </w:r>
      <w:proofErr w:type="spellEnd"/>
      <w:r w:rsidRPr="00527B66">
        <w:rPr>
          <w:rFonts w:eastAsia="Calibri"/>
          <w:b/>
          <w:u w:val="single"/>
          <w:lang w:val="es-ES" w:eastAsia="en-GB" w:bidi="en-GB"/>
        </w:rPr>
        <w:t xml:space="preserve"> </w:t>
      </w:r>
      <w:proofErr w:type="spellStart"/>
      <w:r w:rsidRPr="00527B66">
        <w:rPr>
          <w:rFonts w:eastAsia="Calibri"/>
          <w:b/>
          <w:u w:val="single"/>
          <w:lang w:val="es-ES" w:eastAsia="en-GB" w:bidi="en-GB"/>
        </w:rPr>
        <w:t>Creditor</w:t>
      </w:r>
      <w:proofErr w:type="spellEnd"/>
      <w:r w:rsidRPr="00527B66">
        <w:rPr>
          <w:rFonts w:eastAsia="Calibri"/>
          <w:b/>
          <w:u w:val="single"/>
          <w:lang w:val="es-ES" w:eastAsia="en-GB" w:bidi="en-GB"/>
        </w:rPr>
        <w:t xml:space="preserve"> Representative, </w:t>
      </w:r>
      <w:proofErr w:type="spellStart"/>
      <w:r w:rsidRPr="00527B66">
        <w:rPr>
          <w:rFonts w:eastAsia="Calibri"/>
          <w:b/>
          <w:u w:val="single"/>
          <w:lang w:val="es-ES" w:eastAsia="en-GB" w:bidi="en-GB"/>
        </w:rPr>
        <w:t>the</w:t>
      </w:r>
      <w:proofErr w:type="spellEnd"/>
      <w:r w:rsidRPr="00527B66">
        <w:rPr>
          <w:rFonts w:eastAsia="Calibri"/>
          <w:b/>
          <w:u w:val="single"/>
          <w:lang w:val="es-ES" w:eastAsia="en-GB" w:bidi="en-GB"/>
        </w:rPr>
        <w:t xml:space="preserve"> IBFA </w:t>
      </w:r>
      <w:proofErr w:type="spellStart"/>
      <w:r w:rsidRPr="00527B66">
        <w:rPr>
          <w:rFonts w:eastAsia="Calibri"/>
          <w:b/>
          <w:u w:val="single"/>
          <w:lang w:val="es-ES" w:eastAsia="en-GB" w:bidi="en-GB"/>
        </w:rPr>
        <w:t>Agent</w:t>
      </w:r>
      <w:proofErr w:type="spellEnd"/>
      <w:r w:rsidRPr="00527B66">
        <w:rPr>
          <w:rFonts w:eastAsia="Calibri"/>
          <w:b/>
          <w:u w:val="single"/>
          <w:lang w:val="es-ES" w:eastAsia="en-GB" w:bidi="en-GB"/>
        </w:rPr>
        <w:t xml:space="preserve"> and </w:t>
      </w:r>
      <w:proofErr w:type="spellStart"/>
      <w:r w:rsidRPr="00527B66">
        <w:rPr>
          <w:rFonts w:eastAsia="Calibri"/>
          <w:b/>
          <w:u w:val="single"/>
          <w:lang w:val="es-ES" w:eastAsia="en-GB" w:bidi="en-GB"/>
        </w:rPr>
        <w:t>the</w:t>
      </w:r>
      <w:proofErr w:type="spellEnd"/>
      <w:r w:rsidRPr="00527B66">
        <w:rPr>
          <w:rFonts w:eastAsia="Calibri"/>
          <w:b/>
          <w:u w:val="single"/>
          <w:lang w:val="es-ES" w:eastAsia="en-GB" w:bidi="en-GB"/>
        </w:rPr>
        <w:t xml:space="preserve"> IFA </w:t>
      </w:r>
      <w:proofErr w:type="spellStart"/>
      <w:r w:rsidRPr="00527B66">
        <w:rPr>
          <w:rFonts w:eastAsia="Calibri"/>
          <w:b/>
          <w:u w:val="single"/>
          <w:lang w:val="es-ES" w:eastAsia="en-GB" w:bidi="en-GB"/>
        </w:rPr>
        <w:t>Agent</w:t>
      </w:r>
      <w:proofErr w:type="spellEnd"/>
    </w:p>
    <w:p w14:paraId="5F7F7691" w14:textId="77777777" w:rsidR="00527B66" w:rsidRPr="00527B66" w:rsidRDefault="00EB5C89" w:rsidP="00E045E0">
      <w:pPr>
        <w:spacing w:before="240" w:line="260" w:lineRule="atLeast"/>
        <w:ind w:left="709"/>
        <w:jc w:val="both"/>
        <w:rPr>
          <w:rFonts w:eastAsia="Calibri"/>
          <w:bCs/>
        </w:rPr>
      </w:pPr>
      <w:r w:rsidRPr="00EB5C89">
        <w:t>KROLL</w:t>
      </w:r>
      <w:r w:rsidRPr="00527B66">
        <w:rPr>
          <w:rFonts w:eastAsia="Calibri"/>
          <w:bCs/>
        </w:rPr>
        <w:t xml:space="preserve"> </w:t>
      </w:r>
      <w:r w:rsidR="00527B66" w:rsidRPr="00527B66">
        <w:rPr>
          <w:rFonts w:eastAsia="Calibri"/>
          <w:bCs/>
        </w:rPr>
        <w:t>AGENCY SERVICES LIMITED (</w:t>
      </w:r>
      <w:r w:rsidRPr="00EB5C89">
        <w:t>KROLL</w:t>
      </w:r>
      <w:r w:rsidR="00527B66" w:rsidRPr="00527B66">
        <w:rPr>
          <w:rFonts w:eastAsia="Calibri"/>
          <w:bCs/>
        </w:rPr>
        <w:t>)</w:t>
      </w:r>
    </w:p>
    <w:p w14:paraId="37F470A4" w14:textId="77777777" w:rsidR="00527B66" w:rsidRPr="00527B66" w:rsidRDefault="00527B66" w:rsidP="007E2625">
      <w:pPr>
        <w:keepNext/>
        <w:numPr>
          <w:ilvl w:val="0"/>
          <w:numId w:val="41"/>
        </w:numPr>
        <w:spacing w:before="240" w:line="260" w:lineRule="atLeast"/>
        <w:jc w:val="both"/>
        <w:rPr>
          <w:rFonts w:eastAsia="Calibri"/>
          <w:b/>
          <w:u w:val="single"/>
        </w:rPr>
      </w:pPr>
      <w:r w:rsidRPr="00527B66">
        <w:rPr>
          <w:rFonts w:eastAsia="Calibri"/>
          <w:b/>
          <w:u w:val="single"/>
        </w:rPr>
        <w:t xml:space="preserve">El </w:t>
      </w:r>
      <w:proofErr w:type="spellStart"/>
      <w:r w:rsidRPr="00527B66">
        <w:rPr>
          <w:rFonts w:eastAsia="Calibri"/>
          <w:b/>
          <w:u w:val="single"/>
        </w:rPr>
        <w:t>Agente</w:t>
      </w:r>
      <w:proofErr w:type="spellEnd"/>
      <w:r w:rsidRPr="00527B66">
        <w:rPr>
          <w:rFonts w:eastAsia="Calibri"/>
          <w:b/>
          <w:u w:val="single"/>
        </w:rPr>
        <w:t xml:space="preserve"> de </w:t>
      </w:r>
      <w:proofErr w:type="spellStart"/>
      <w:r w:rsidRPr="00527B66">
        <w:rPr>
          <w:rFonts w:eastAsia="Calibri"/>
          <w:b/>
          <w:u w:val="single"/>
        </w:rPr>
        <w:t>Garantías</w:t>
      </w:r>
      <w:proofErr w:type="spellEnd"/>
      <w:r w:rsidRPr="00527B66">
        <w:rPr>
          <w:rFonts w:eastAsia="Calibri"/>
          <w:b/>
          <w:u w:val="single"/>
        </w:rPr>
        <w:t xml:space="preserve">, </w:t>
      </w:r>
      <w:proofErr w:type="spellStart"/>
      <w:r w:rsidRPr="00527B66">
        <w:rPr>
          <w:rFonts w:eastAsia="Calibri"/>
          <w:b/>
          <w:u w:val="single"/>
        </w:rPr>
        <w:t>el</w:t>
      </w:r>
      <w:proofErr w:type="spellEnd"/>
      <w:r w:rsidRPr="00527B66">
        <w:rPr>
          <w:rFonts w:eastAsia="Calibri"/>
          <w:b/>
          <w:u w:val="single"/>
        </w:rPr>
        <w:t xml:space="preserve"> </w:t>
      </w:r>
      <w:proofErr w:type="spellStart"/>
      <w:r w:rsidRPr="00527B66">
        <w:rPr>
          <w:rFonts w:eastAsia="Calibri"/>
          <w:b/>
          <w:u w:val="single"/>
        </w:rPr>
        <w:t>Agente</w:t>
      </w:r>
      <w:proofErr w:type="spellEnd"/>
      <w:r w:rsidRPr="00527B66">
        <w:rPr>
          <w:rFonts w:eastAsia="Calibri"/>
          <w:b/>
          <w:u w:val="single"/>
        </w:rPr>
        <w:t xml:space="preserve"> </w:t>
      </w:r>
      <w:proofErr w:type="spellStart"/>
      <w:r w:rsidRPr="00527B66">
        <w:rPr>
          <w:rFonts w:eastAsia="Calibri"/>
          <w:b/>
          <w:u w:val="single"/>
        </w:rPr>
        <w:t>Inicial</w:t>
      </w:r>
      <w:proofErr w:type="spellEnd"/>
      <w:r w:rsidRPr="00527B66">
        <w:rPr>
          <w:rFonts w:eastAsia="Calibri"/>
          <w:b/>
          <w:u w:val="single"/>
        </w:rPr>
        <w:t xml:space="preserve"> ACF, </w:t>
      </w:r>
      <w:proofErr w:type="spellStart"/>
      <w:r w:rsidRPr="00527B66">
        <w:rPr>
          <w:rFonts w:eastAsia="Calibri"/>
          <w:b/>
          <w:u w:val="single"/>
        </w:rPr>
        <w:t>el</w:t>
      </w:r>
      <w:proofErr w:type="spellEnd"/>
      <w:r w:rsidRPr="00527B66">
        <w:rPr>
          <w:rFonts w:eastAsia="Calibri"/>
          <w:b/>
          <w:u w:val="single"/>
        </w:rPr>
        <w:t xml:space="preserve"> </w:t>
      </w:r>
      <w:proofErr w:type="spellStart"/>
      <w:r w:rsidRPr="00527B66">
        <w:rPr>
          <w:rFonts w:eastAsia="Calibri"/>
          <w:b/>
          <w:u w:val="single"/>
        </w:rPr>
        <w:t>Agente</w:t>
      </w:r>
      <w:proofErr w:type="spellEnd"/>
      <w:r w:rsidRPr="00527B66">
        <w:rPr>
          <w:rFonts w:eastAsia="Calibri"/>
          <w:b/>
          <w:u w:val="single"/>
        </w:rPr>
        <w:t xml:space="preserve"> </w:t>
      </w:r>
      <w:proofErr w:type="spellStart"/>
      <w:r w:rsidRPr="00527B66">
        <w:rPr>
          <w:rFonts w:eastAsia="Calibri"/>
          <w:b/>
          <w:u w:val="single"/>
        </w:rPr>
        <w:t>Inicial</w:t>
      </w:r>
      <w:proofErr w:type="spellEnd"/>
      <w:r w:rsidRPr="00527B66">
        <w:rPr>
          <w:rFonts w:eastAsia="Calibri"/>
          <w:b/>
          <w:u w:val="single"/>
        </w:rPr>
        <w:t xml:space="preserve"> MRF y </w:t>
      </w:r>
      <w:proofErr w:type="spellStart"/>
      <w:r w:rsidRPr="00527B66">
        <w:rPr>
          <w:rFonts w:eastAsia="Calibri"/>
          <w:b/>
          <w:u w:val="single"/>
        </w:rPr>
        <w:t>el</w:t>
      </w:r>
      <w:proofErr w:type="spellEnd"/>
      <w:r w:rsidRPr="00527B66">
        <w:rPr>
          <w:rFonts w:eastAsia="Calibri"/>
          <w:b/>
          <w:u w:val="single"/>
        </w:rPr>
        <w:t xml:space="preserve"> </w:t>
      </w:r>
      <w:proofErr w:type="spellStart"/>
      <w:r w:rsidRPr="00527B66">
        <w:rPr>
          <w:rFonts w:eastAsia="Calibri"/>
          <w:b/>
          <w:u w:val="single"/>
        </w:rPr>
        <w:t>Agente</w:t>
      </w:r>
      <w:proofErr w:type="spellEnd"/>
      <w:r w:rsidRPr="00527B66">
        <w:rPr>
          <w:rFonts w:eastAsia="Calibri"/>
          <w:b/>
          <w:u w:val="single"/>
        </w:rPr>
        <w:t xml:space="preserve"> </w:t>
      </w:r>
      <w:proofErr w:type="spellStart"/>
      <w:r w:rsidRPr="00527B66">
        <w:rPr>
          <w:rFonts w:eastAsia="Calibri"/>
          <w:b/>
          <w:u w:val="single"/>
        </w:rPr>
        <w:t>Inicial</w:t>
      </w:r>
      <w:proofErr w:type="spellEnd"/>
      <w:r w:rsidRPr="00527B66">
        <w:rPr>
          <w:rFonts w:eastAsia="Calibri"/>
          <w:b/>
          <w:u w:val="single"/>
        </w:rPr>
        <w:t xml:space="preserve"> LF/The Security Trustee, the </w:t>
      </w:r>
      <w:proofErr w:type="spellStart"/>
      <w:r w:rsidRPr="00527B66">
        <w:rPr>
          <w:rFonts w:eastAsia="Calibri"/>
          <w:b/>
          <w:u w:val="single"/>
        </w:rPr>
        <w:t>Inicial</w:t>
      </w:r>
      <w:proofErr w:type="spellEnd"/>
      <w:r w:rsidRPr="00527B66">
        <w:rPr>
          <w:rFonts w:eastAsia="Calibri"/>
          <w:b/>
          <w:u w:val="single"/>
        </w:rPr>
        <w:t xml:space="preserve"> ACF Agent, the Initial MRF Agent and the Initial LF Agent</w:t>
      </w:r>
    </w:p>
    <w:p w14:paraId="379226DC" w14:textId="77777777" w:rsidR="009A56E5" w:rsidRPr="007670D2" w:rsidRDefault="00527B66" w:rsidP="00E045E0">
      <w:pPr>
        <w:spacing w:before="240" w:line="260" w:lineRule="atLeast"/>
        <w:ind w:left="709"/>
        <w:jc w:val="both"/>
        <w:outlineLvl w:val="4"/>
        <w:rPr>
          <w:rFonts w:eastAsia="Calibri"/>
          <w:lang w:eastAsia="en-GB" w:bidi="en-GB"/>
        </w:rPr>
      </w:pPr>
      <w:r w:rsidRPr="00527B66">
        <w:rPr>
          <w:rFonts w:eastAsia="Calibri"/>
          <w:lang w:eastAsia="en-GB" w:bidi="en-GB"/>
        </w:rPr>
        <w:t>ING BANK N.V.</w:t>
      </w:r>
    </w:p>
    <w:p w14:paraId="7CE9933F" w14:textId="77777777" w:rsidR="00C45086" w:rsidRPr="007670D2" w:rsidRDefault="007670D2" w:rsidP="007E2625">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 xml:space="preserve">Las Compradoras </w:t>
      </w:r>
      <w:r>
        <w:rPr>
          <w:rFonts w:eastAsia="Calibri"/>
          <w:b/>
          <w:u w:val="single"/>
          <w:lang w:val="es-ES"/>
        </w:rPr>
        <w:t>de Bonos</w:t>
      </w:r>
      <w:r w:rsidRPr="00527B66">
        <w:rPr>
          <w:rFonts w:eastAsia="Calibri"/>
          <w:b/>
          <w:u w:val="single"/>
          <w:lang w:val="es-ES"/>
        </w:rPr>
        <w:t xml:space="preserve">/The </w:t>
      </w:r>
      <w:r>
        <w:rPr>
          <w:rFonts w:eastAsia="Calibri"/>
          <w:b/>
          <w:u w:val="single"/>
          <w:lang w:val="es-ES"/>
        </w:rPr>
        <w:t>Note</w:t>
      </w:r>
      <w:r w:rsidRPr="00527B66">
        <w:rPr>
          <w:rFonts w:eastAsia="Calibri"/>
          <w:b/>
          <w:u w:val="single"/>
          <w:lang w:val="es-ES"/>
        </w:rPr>
        <w:t xml:space="preserve"> </w:t>
      </w:r>
      <w:proofErr w:type="spellStart"/>
      <w:r w:rsidRPr="00527B66">
        <w:rPr>
          <w:rFonts w:eastAsia="Calibri"/>
          <w:b/>
          <w:u w:val="single"/>
          <w:lang w:val="es-ES"/>
        </w:rPr>
        <w:t>Purchasers</w:t>
      </w:r>
      <w:proofErr w:type="spellEnd"/>
    </w:p>
    <w:p w14:paraId="27C2C31C" w14:textId="77777777" w:rsidR="007670D2" w:rsidRDefault="007670D2" w:rsidP="00E045E0">
      <w:pPr>
        <w:pStyle w:val="AODocTxt"/>
        <w:ind w:left="709"/>
        <w:rPr>
          <w:rFonts w:eastAsia="Times New Roman"/>
          <w:lang w:eastAsia="en-GB"/>
        </w:rPr>
      </w:pPr>
      <w:r w:rsidRPr="00D67D0C">
        <w:rPr>
          <w:rFonts w:eastAsia="Times New Roman"/>
          <w:lang w:eastAsia="en-GB"/>
        </w:rPr>
        <w:t>INFRASTRUCTURE FINANCE AHO S.À R.L., acting through and in respect of its Compartment AHO1</w:t>
      </w:r>
    </w:p>
    <w:p w14:paraId="75C3E04F" w14:textId="77777777" w:rsidR="007670D2" w:rsidRDefault="007670D2" w:rsidP="00E045E0">
      <w:pPr>
        <w:pStyle w:val="AODocTxt"/>
        <w:ind w:firstLine="709"/>
        <w:rPr>
          <w:rFonts w:eastAsia="Times New Roman"/>
          <w:lang w:eastAsia="en-GB"/>
        </w:rPr>
      </w:pPr>
      <w:r w:rsidRPr="00D67D0C">
        <w:rPr>
          <w:rFonts w:eastAsia="Times New Roman"/>
          <w:lang w:eastAsia="en-GB"/>
        </w:rPr>
        <w:t>INFRASTRUCTURE FINANCE AHO S</w:t>
      </w:r>
      <w:r>
        <w:rPr>
          <w:rFonts w:eastAsia="Times New Roman"/>
          <w:lang w:eastAsia="en-GB"/>
        </w:rPr>
        <w:t xml:space="preserve">.À </w:t>
      </w:r>
      <w:r w:rsidRPr="00D67D0C">
        <w:rPr>
          <w:rFonts w:eastAsia="Times New Roman"/>
          <w:lang w:eastAsia="en-GB"/>
        </w:rPr>
        <w:t>R</w:t>
      </w:r>
      <w:r>
        <w:rPr>
          <w:rFonts w:eastAsia="Times New Roman"/>
          <w:lang w:eastAsia="en-GB"/>
        </w:rPr>
        <w:t>.</w:t>
      </w:r>
      <w:r w:rsidRPr="00D67D0C">
        <w:rPr>
          <w:rFonts w:eastAsia="Times New Roman"/>
          <w:lang w:eastAsia="en-GB"/>
        </w:rPr>
        <w:t>L</w:t>
      </w:r>
      <w:r>
        <w:rPr>
          <w:rFonts w:eastAsia="Times New Roman"/>
          <w:lang w:eastAsia="en-GB"/>
        </w:rPr>
        <w:t>.</w:t>
      </w:r>
      <w:r w:rsidRPr="00D67D0C">
        <w:rPr>
          <w:rFonts w:eastAsia="Times New Roman"/>
          <w:lang w:eastAsia="en-GB"/>
        </w:rPr>
        <w:t>, acting in respect of its Compartment AHO2</w:t>
      </w:r>
    </w:p>
    <w:p w14:paraId="7681406A" w14:textId="77777777" w:rsidR="00CF6992" w:rsidRDefault="00CF6992" w:rsidP="007E2625">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 xml:space="preserve">Las </w:t>
      </w:r>
      <w:r>
        <w:rPr>
          <w:rFonts w:eastAsia="Calibri"/>
          <w:b/>
          <w:u w:val="single"/>
          <w:lang w:val="es-ES"/>
        </w:rPr>
        <w:t xml:space="preserve">Nuevas </w:t>
      </w:r>
      <w:r w:rsidRPr="00527B66">
        <w:rPr>
          <w:rFonts w:eastAsia="Calibri"/>
          <w:b/>
          <w:u w:val="single"/>
          <w:lang w:val="es-ES"/>
        </w:rPr>
        <w:t xml:space="preserve">Compradoras </w:t>
      </w:r>
      <w:r>
        <w:rPr>
          <w:rFonts w:eastAsia="Calibri"/>
          <w:b/>
          <w:u w:val="single"/>
          <w:lang w:val="es-ES"/>
        </w:rPr>
        <w:t>de Bonos</w:t>
      </w:r>
      <w:r w:rsidRPr="00527B66">
        <w:rPr>
          <w:rFonts w:eastAsia="Calibri"/>
          <w:b/>
          <w:u w:val="single"/>
          <w:lang w:val="es-ES"/>
        </w:rPr>
        <w:t>/The</w:t>
      </w:r>
      <w:r>
        <w:rPr>
          <w:rFonts w:eastAsia="Calibri"/>
          <w:b/>
          <w:u w:val="single"/>
          <w:lang w:val="es-ES"/>
        </w:rPr>
        <w:t xml:space="preserve"> New</w:t>
      </w:r>
      <w:r w:rsidRPr="00527B66">
        <w:rPr>
          <w:rFonts w:eastAsia="Calibri"/>
          <w:b/>
          <w:u w:val="single"/>
          <w:lang w:val="es-ES"/>
        </w:rPr>
        <w:t xml:space="preserve"> </w:t>
      </w:r>
      <w:r>
        <w:rPr>
          <w:rFonts w:eastAsia="Calibri"/>
          <w:b/>
          <w:u w:val="single"/>
          <w:lang w:val="es-ES"/>
        </w:rPr>
        <w:t>Note</w:t>
      </w:r>
      <w:r w:rsidRPr="00527B66">
        <w:rPr>
          <w:rFonts w:eastAsia="Calibri"/>
          <w:b/>
          <w:u w:val="single"/>
          <w:lang w:val="es-ES"/>
        </w:rPr>
        <w:t xml:space="preserve"> </w:t>
      </w:r>
      <w:proofErr w:type="spellStart"/>
      <w:r w:rsidRPr="00527B66">
        <w:rPr>
          <w:rFonts w:eastAsia="Calibri"/>
          <w:b/>
          <w:u w:val="single"/>
          <w:lang w:val="es-ES"/>
        </w:rPr>
        <w:t>Purchasers</w:t>
      </w:r>
      <w:proofErr w:type="spellEnd"/>
    </w:p>
    <w:tbl>
      <w:tblPr>
        <w:tblW w:w="5000" w:type="pct"/>
        <w:tblLayout w:type="fixed"/>
        <w:tblCellMar>
          <w:left w:w="115" w:type="dxa"/>
          <w:right w:w="115" w:type="dxa"/>
        </w:tblCellMar>
        <w:tblLook w:val="04A0" w:firstRow="1" w:lastRow="0" w:firstColumn="1" w:lastColumn="0" w:noHBand="0" w:noVBand="1"/>
      </w:tblPr>
      <w:tblGrid>
        <w:gridCol w:w="9638"/>
      </w:tblGrid>
      <w:tr w:rsidR="00CF6992" w:rsidRPr="00CD7F22" w14:paraId="751E7B2C" w14:textId="77777777" w:rsidTr="00CF6992">
        <w:tc>
          <w:tcPr>
            <w:tcW w:w="5000" w:type="pct"/>
            <w:shd w:val="clear" w:color="auto" w:fill="auto"/>
          </w:tcPr>
          <w:p w14:paraId="57911D50" w14:textId="77777777" w:rsidR="00CF6992" w:rsidRPr="00415668" w:rsidRDefault="00CF6992" w:rsidP="00CF6992">
            <w:pPr>
              <w:pStyle w:val="AO1"/>
              <w:numPr>
                <w:ilvl w:val="0"/>
                <w:numId w:val="0"/>
              </w:numPr>
              <w:ind w:left="720"/>
              <w:rPr>
                <w:rFonts w:eastAsia="Times New Roman"/>
                <w:lang w:val="pt-PT" w:eastAsia="en-GB"/>
              </w:rPr>
            </w:pPr>
            <w:r w:rsidRPr="00415668">
              <w:rPr>
                <w:rFonts w:eastAsia="Times New Roman"/>
                <w:lang w:val="pt-PT" w:eastAsia="en-GB"/>
              </w:rPr>
              <w:t>VG AIGSL EU PD S.À R.L.</w:t>
            </w:r>
          </w:p>
        </w:tc>
      </w:tr>
      <w:tr w:rsidR="00CF6992" w:rsidRPr="00244FAC" w14:paraId="13F2F499" w14:textId="77777777" w:rsidTr="00CF6992">
        <w:tc>
          <w:tcPr>
            <w:tcW w:w="5000" w:type="pct"/>
            <w:shd w:val="clear" w:color="auto" w:fill="auto"/>
          </w:tcPr>
          <w:p w14:paraId="2D684384" w14:textId="77777777" w:rsidR="00CF6992" w:rsidRPr="00CF6992" w:rsidRDefault="00CF6992" w:rsidP="00CF6992">
            <w:pPr>
              <w:pStyle w:val="AO1"/>
              <w:numPr>
                <w:ilvl w:val="0"/>
                <w:numId w:val="0"/>
              </w:numPr>
              <w:ind w:left="720"/>
              <w:rPr>
                <w:rFonts w:eastAsia="Times New Roman"/>
                <w:lang w:eastAsia="en-GB"/>
              </w:rPr>
            </w:pPr>
            <w:r w:rsidRPr="00CF6992">
              <w:rPr>
                <w:rFonts w:eastAsia="Times New Roman"/>
                <w:lang w:eastAsia="en-GB"/>
              </w:rPr>
              <w:t>SHAMROCK INFRASTRUCTURE DEBT COMPANY UNDERSHAFT GBP DESIGNATED ACTIVITY COMPANY</w:t>
            </w:r>
          </w:p>
        </w:tc>
      </w:tr>
      <w:tr w:rsidR="00CF6992" w:rsidRPr="00244FAC" w14:paraId="58559962" w14:textId="77777777" w:rsidTr="00CF6992">
        <w:tc>
          <w:tcPr>
            <w:tcW w:w="5000" w:type="pct"/>
            <w:shd w:val="clear" w:color="auto" w:fill="auto"/>
          </w:tcPr>
          <w:p w14:paraId="6A9E5CA8" w14:textId="77777777" w:rsidR="00CF6992" w:rsidRPr="00CF6992" w:rsidRDefault="00CF6992" w:rsidP="00CF6992">
            <w:pPr>
              <w:pStyle w:val="AO1"/>
              <w:numPr>
                <w:ilvl w:val="0"/>
                <w:numId w:val="0"/>
              </w:numPr>
              <w:ind w:left="720"/>
              <w:rPr>
                <w:rFonts w:eastAsia="Times New Roman"/>
                <w:lang w:eastAsia="en-GB"/>
              </w:rPr>
            </w:pPr>
            <w:r w:rsidRPr="00CF6992">
              <w:rPr>
                <w:rFonts w:eastAsia="Times New Roman"/>
                <w:lang w:eastAsia="en-GB"/>
              </w:rPr>
              <w:t>AVIVA LIFE &amp; PENSIONS UK LIMITED</w:t>
            </w:r>
          </w:p>
        </w:tc>
      </w:tr>
      <w:tr w:rsidR="00CF6992" w:rsidRPr="00244FAC" w14:paraId="3F7BFCC4" w14:textId="77777777" w:rsidTr="00CF6992">
        <w:tc>
          <w:tcPr>
            <w:tcW w:w="5000" w:type="pct"/>
            <w:shd w:val="clear" w:color="auto" w:fill="auto"/>
          </w:tcPr>
          <w:p w14:paraId="66EA2435" w14:textId="77777777" w:rsidR="00CF6992" w:rsidRPr="00CF6992" w:rsidRDefault="00CF6992" w:rsidP="00CF6992">
            <w:pPr>
              <w:pStyle w:val="AO1"/>
              <w:numPr>
                <w:ilvl w:val="0"/>
                <w:numId w:val="0"/>
              </w:numPr>
              <w:ind w:left="720"/>
              <w:rPr>
                <w:rFonts w:eastAsia="Times New Roman"/>
                <w:lang w:eastAsia="en-GB"/>
              </w:rPr>
            </w:pPr>
            <w:r w:rsidRPr="00CF6992">
              <w:rPr>
                <w:rFonts w:eastAsia="Times New Roman"/>
                <w:lang w:eastAsia="en-GB"/>
              </w:rPr>
              <w:t>METROPOLITAN TOWER LIFE INSURANCE COMPANY</w:t>
            </w:r>
          </w:p>
        </w:tc>
      </w:tr>
      <w:tr w:rsidR="00CF6992" w:rsidRPr="00244FAC" w14:paraId="219F3B6C" w14:textId="77777777" w:rsidTr="00CF6992">
        <w:tc>
          <w:tcPr>
            <w:tcW w:w="5000" w:type="pct"/>
            <w:shd w:val="clear" w:color="auto" w:fill="auto"/>
          </w:tcPr>
          <w:p w14:paraId="129CBA2E" w14:textId="77777777" w:rsidR="00CF6992" w:rsidRPr="00CF6992" w:rsidRDefault="00CF6992" w:rsidP="00CF6992">
            <w:pPr>
              <w:pStyle w:val="AO1"/>
              <w:numPr>
                <w:ilvl w:val="0"/>
                <w:numId w:val="0"/>
              </w:numPr>
              <w:ind w:left="720"/>
              <w:rPr>
                <w:rFonts w:eastAsia="Times New Roman"/>
                <w:lang w:eastAsia="en-GB"/>
              </w:rPr>
            </w:pPr>
            <w:r w:rsidRPr="00CF6992">
              <w:rPr>
                <w:rFonts w:eastAsia="Times New Roman"/>
                <w:lang w:eastAsia="en-GB"/>
              </w:rPr>
              <w:t>METLIFE EUROPE D.A.C.</w:t>
            </w:r>
          </w:p>
        </w:tc>
      </w:tr>
      <w:tr w:rsidR="00CF6992" w:rsidRPr="00244FAC" w14:paraId="3B053F6A" w14:textId="77777777" w:rsidTr="00CF6992">
        <w:tc>
          <w:tcPr>
            <w:tcW w:w="5000" w:type="pct"/>
            <w:shd w:val="clear" w:color="auto" w:fill="auto"/>
          </w:tcPr>
          <w:p w14:paraId="74B7675D" w14:textId="77777777" w:rsidR="00CF6992" w:rsidRPr="00CF6992" w:rsidRDefault="00CF6992" w:rsidP="00CF6992">
            <w:pPr>
              <w:pStyle w:val="AO1"/>
              <w:numPr>
                <w:ilvl w:val="0"/>
                <w:numId w:val="0"/>
              </w:numPr>
              <w:ind w:left="720"/>
              <w:rPr>
                <w:rFonts w:eastAsia="Times New Roman"/>
                <w:lang w:eastAsia="en-GB"/>
              </w:rPr>
            </w:pPr>
            <w:r w:rsidRPr="00CF6992">
              <w:rPr>
                <w:rFonts w:eastAsia="Times New Roman"/>
                <w:lang w:eastAsia="en-GB"/>
              </w:rPr>
              <w:t>IST3 INVESTMENT FOUNDATION</w:t>
            </w:r>
          </w:p>
        </w:tc>
      </w:tr>
      <w:tr w:rsidR="00CF6992" w:rsidRPr="00244FAC" w14:paraId="6FC36E9F" w14:textId="77777777" w:rsidTr="00CF6992">
        <w:tc>
          <w:tcPr>
            <w:tcW w:w="5000" w:type="pct"/>
            <w:shd w:val="clear" w:color="auto" w:fill="auto"/>
          </w:tcPr>
          <w:p w14:paraId="535E9D3F" w14:textId="77777777" w:rsidR="00CF6992" w:rsidRPr="00CF6992" w:rsidRDefault="00CF6992" w:rsidP="00CF6992">
            <w:pPr>
              <w:pStyle w:val="AO1"/>
              <w:numPr>
                <w:ilvl w:val="0"/>
                <w:numId w:val="0"/>
              </w:numPr>
              <w:ind w:left="720"/>
              <w:rPr>
                <w:rFonts w:eastAsia="Times New Roman"/>
                <w:lang w:eastAsia="en-GB"/>
              </w:rPr>
            </w:pPr>
            <w:r w:rsidRPr="00CF6992">
              <w:rPr>
                <w:rFonts w:eastAsia="Times New Roman"/>
                <w:lang w:eastAsia="en-GB"/>
              </w:rPr>
              <w:t>METROPOLITAN LIFE INSURANCE COMPANY</w:t>
            </w:r>
          </w:p>
        </w:tc>
      </w:tr>
      <w:tr w:rsidR="00CF6992" w:rsidRPr="00244FAC" w14:paraId="09861ABD" w14:textId="77777777" w:rsidTr="00CF6992">
        <w:tc>
          <w:tcPr>
            <w:tcW w:w="5000" w:type="pct"/>
            <w:shd w:val="clear" w:color="auto" w:fill="auto"/>
          </w:tcPr>
          <w:p w14:paraId="3777C9D1" w14:textId="77777777" w:rsidR="00CF6992" w:rsidRPr="00CF6992" w:rsidRDefault="00CF6992" w:rsidP="00CF6992">
            <w:pPr>
              <w:pStyle w:val="AO1"/>
              <w:numPr>
                <w:ilvl w:val="0"/>
                <w:numId w:val="0"/>
              </w:numPr>
              <w:ind w:left="720"/>
              <w:rPr>
                <w:rFonts w:eastAsia="Times New Roman"/>
                <w:lang w:eastAsia="en-GB"/>
              </w:rPr>
            </w:pPr>
            <w:r w:rsidRPr="00CF6992">
              <w:rPr>
                <w:rFonts w:eastAsia="Times New Roman"/>
                <w:lang w:eastAsia="en-GB"/>
              </w:rPr>
              <w:t>METLIFE INSURANCE K.K.</w:t>
            </w:r>
          </w:p>
        </w:tc>
      </w:tr>
    </w:tbl>
    <w:p w14:paraId="78BC86E5" w14:textId="77777777" w:rsidR="00CF6992" w:rsidRPr="00551D49" w:rsidRDefault="00551D49" w:rsidP="007E2625">
      <w:pPr>
        <w:numPr>
          <w:ilvl w:val="0"/>
          <w:numId w:val="41"/>
        </w:numPr>
        <w:spacing w:before="240" w:line="260" w:lineRule="atLeast"/>
        <w:jc w:val="both"/>
        <w:outlineLvl w:val="4"/>
        <w:rPr>
          <w:rFonts w:eastAsia="Calibri"/>
          <w:b/>
          <w:u w:val="single"/>
          <w:lang w:val="es-ES"/>
        </w:rPr>
      </w:pPr>
      <w:r w:rsidRPr="00551D49">
        <w:rPr>
          <w:rFonts w:eastAsia="Calibri"/>
          <w:b/>
          <w:u w:val="single"/>
          <w:lang w:val="es-ES"/>
        </w:rPr>
        <w:t xml:space="preserve">Las Entidades Financiadoras LF 2023/ The LF </w:t>
      </w:r>
      <w:proofErr w:type="spellStart"/>
      <w:r w:rsidRPr="00551D49">
        <w:rPr>
          <w:rFonts w:eastAsia="Calibri"/>
          <w:b/>
          <w:u w:val="single"/>
          <w:lang w:val="es-ES"/>
        </w:rPr>
        <w:t>Lenders</w:t>
      </w:r>
      <w:proofErr w:type="spellEnd"/>
      <w:r w:rsidRPr="00551D49">
        <w:rPr>
          <w:rFonts w:eastAsia="Calibri"/>
          <w:b/>
          <w:u w:val="single"/>
          <w:lang w:val="es-ES"/>
        </w:rPr>
        <w:t xml:space="preserve"> 2023</w:t>
      </w:r>
    </w:p>
    <w:p w14:paraId="73CD33E3" w14:textId="3582BE51" w:rsidR="00551D49" w:rsidRDefault="006D0404" w:rsidP="00316E16">
      <w:pPr>
        <w:pStyle w:val="AO1"/>
        <w:numPr>
          <w:ilvl w:val="0"/>
          <w:numId w:val="0"/>
        </w:numPr>
        <w:ind w:left="720"/>
        <w:rPr>
          <w:rFonts w:eastAsia="Times New Roman"/>
          <w:b/>
          <w:bCs/>
          <w:u w:val="single"/>
          <w:lang w:val="es-ES" w:eastAsia="en-GB"/>
        </w:rPr>
      </w:pPr>
      <w:r w:rsidRPr="005347BF">
        <w:rPr>
          <w:rFonts w:eastAsia="Times New Roman"/>
          <w:lang w:val="es-ES" w:eastAsia="en-GB"/>
        </w:rPr>
        <w:t>KFW IPEX-BANK GMBH</w:t>
      </w:r>
    </w:p>
    <w:p w14:paraId="5D6206A3" w14:textId="71434CA4" w:rsidR="005347BF" w:rsidRPr="00592D1B" w:rsidRDefault="005347BF" w:rsidP="005347BF">
      <w:pPr>
        <w:numPr>
          <w:ilvl w:val="0"/>
          <w:numId w:val="41"/>
        </w:numPr>
        <w:spacing w:before="240" w:line="260" w:lineRule="atLeast"/>
        <w:jc w:val="both"/>
        <w:outlineLvl w:val="4"/>
        <w:rPr>
          <w:b/>
          <w:u w:val="single"/>
          <w:lang w:val="es-ES"/>
        </w:rPr>
      </w:pPr>
      <w:r w:rsidRPr="00592D1B">
        <w:rPr>
          <w:b/>
          <w:u w:val="single"/>
          <w:lang w:val="es-ES"/>
        </w:rPr>
        <w:t xml:space="preserve">Las Entidades Financiadoras ACF 2024/The ACF </w:t>
      </w:r>
      <w:proofErr w:type="spellStart"/>
      <w:r w:rsidRPr="00592D1B">
        <w:rPr>
          <w:b/>
          <w:u w:val="single"/>
          <w:lang w:val="es-ES"/>
        </w:rPr>
        <w:t>Lenders</w:t>
      </w:r>
      <w:proofErr w:type="spellEnd"/>
      <w:r w:rsidRPr="00592D1B">
        <w:rPr>
          <w:b/>
          <w:u w:val="single"/>
          <w:lang w:val="es-ES"/>
        </w:rPr>
        <w:t xml:space="preserve"> 2024</w:t>
      </w:r>
    </w:p>
    <w:tbl>
      <w:tblPr>
        <w:tblW w:w="5000" w:type="pct"/>
        <w:tblLayout w:type="fixed"/>
        <w:tblCellMar>
          <w:left w:w="115" w:type="dxa"/>
          <w:right w:w="115" w:type="dxa"/>
        </w:tblCellMar>
        <w:tblLook w:val="04A0" w:firstRow="1" w:lastRow="0" w:firstColumn="1" w:lastColumn="0" w:noHBand="0" w:noVBand="1"/>
      </w:tblPr>
      <w:tblGrid>
        <w:gridCol w:w="9638"/>
      </w:tblGrid>
      <w:tr w:rsidR="005347BF" w:rsidRPr="00A4106E" w14:paraId="0E525B8A" w14:textId="77777777" w:rsidTr="005347BF">
        <w:tc>
          <w:tcPr>
            <w:tcW w:w="5000" w:type="pct"/>
            <w:shd w:val="clear" w:color="auto" w:fill="auto"/>
          </w:tcPr>
          <w:p w14:paraId="6DB33057" w14:textId="77777777" w:rsidR="005347BF" w:rsidRPr="00E97C5A" w:rsidRDefault="005347BF" w:rsidP="005347BF">
            <w:pPr>
              <w:pStyle w:val="AO1"/>
              <w:numPr>
                <w:ilvl w:val="0"/>
                <w:numId w:val="0"/>
              </w:numPr>
              <w:ind w:left="720"/>
              <w:rPr>
                <w:lang w:val="de-DE"/>
              </w:rPr>
            </w:pPr>
            <w:r w:rsidRPr="00E97C5A">
              <w:rPr>
                <w:lang w:val="de-DE"/>
              </w:rPr>
              <w:t>ABN AMRO BANK N.V.</w:t>
            </w:r>
          </w:p>
        </w:tc>
      </w:tr>
      <w:tr w:rsidR="005347BF" w:rsidRPr="00210A06" w14:paraId="5DD8C771" w14:textId="77777777" w:rsidTr="005347BF">
        <w:tc>
          <w:tcPr>
            <w:tcW w:w="5000" w:type="pct"/>
            <w:shd w:val="clear" w:color="auto" w:fill="auto"/>
          </w:tcPr>
          <w:p w14:paraId="088E8033" w14:textId="77777777" w:rsidR="005347BF" w:rsidRPr="005347BF" w:rsidRDefault="005347BF" w:rsidP="005347BF">
            <w:pPr>
              <w:pStyle w:val="AO1"/>
              <w:numPr>
                <w:ilvl w:val="0"/>
                <w:numId w:val="0"/>
              </w:numPr>
              <w:ind w:left="720"/>
            </w:pPr>
            <w:r w:rsidRPr="005347BF">
              <w:t>CAIXABANK, S.A. UK BRANCH</w:t>
            </w:r>
          </w:p>
        </w:tc>
      </w:tr>
      <w:tr w:rsidR="005347BF" w:rsidRPr="00474F22" w14:paraId="178478D3" w14:textId="77777777" w:rsidTr="005347BF">
        <w:tc>
          <w:tcPr>
            <w:tcW w:w="5000" w:type="pct"/>
            <w:shd w:val="clear" w:color="auto" w:fill="auto"/>
          </w:tcPr>
          <w:p w14:paraId="60682C9D" w14:textId="77777777" w:rsidR="005347BF" w:rsidRPr="005347BF" w:rsidRDefault="005347BF" w:rsidP="005347BF">
            <w:pPr>
              <w:pStyle w:val="AO1"/>
              <w:numPr>
                <w:ilvl w:val="0"/>
                <w:numId w:val="0"/>
              </w:numPr>
              <w:ind w:left="720"/>
            </w:pPr>
            <w:r w:rsidRPr="005347BF">
              <w:t>COÖPERATIEVE RABOBANK U.A.</w:t>
            </w:r>
          </w:p>
        </w:tc>
      </w:tr>
      <w:tr w:rsidR="005347BF" w14:paraId="5D0B21F7" w14:textId="77777777" w:rsidTr="005347BF">
        <w:tc>
          <w:tcPr>
            <w:tcW w:w="5000" w:type="pct"/>
            <w:shd w:val="clear" w:color="auto" w:fill="auto"/>
          </w:tcPr>
          <w:p w14:paraId="501BFECF" w14:textId="22282202" w:rsidR="005347BF" w:rsidRPr="005347BF" w:rsidRDefault="005347BF" w:rsidP="005347BF">
            <w:pPr>
              <w:pStyle w:val="AO1"/>
              <w:numPr>
                <w:ilvl w:val="0"/>
                <w:numId w:val="0"/>
              </w:numPr>
              <w:ind w:left="720"/>
            </w:pPr>
            <w:r w:rsidRPr="005347BF">
              <w:lastRenderedPageBreak/>
              <w:t>CR</w:t>
            </w:r>
            <w:r w:rsidR="00E97C5A">
              <w:t>É</w:t>
            </w:r>
            <w:r w:rsidRPr="005347BF">
              <w:t>DIT AGRICOLE CORPORATE AND INVESTMENT BANK</w:t>
            </w:r>
          </w:p>
        </w:tc>
      </w:tr>
      <w:tr w:rsidR="005347BF" w14:paraId="491C0E35" w14:textId="77777777" w:rsidTr="005347BF">
        <w:tc>
          <w:tcPr>
            <w:tcW w:w="5000" w:type="pct"/>
            <w:shd w:val="clear" w:color="auto" w:fill="auto"/>
          </w:tcPr>
          <w:p w14:paraId="0F22E79C" w14:textId="77777777" w:rsidR="005347BF" w:rsidRPr="005347BF" w:rsidRDefault="005347BF" w:rsidP="005347BF">
            <w:pPr>
              <w:pStyle w:val="AO1"/>
              <w:numPr>
                <w:ilvl w:val="0"/>
                <w:numId w:val="0"/>
              </w:numPr>
              <w:ind w:left="720"/>
            </w:pPr>
            <w:r w:rsidRPr="005347BF">
              <w:t>DEVELOPMENT BANK OF JAPAN INC.</w:t>
            </w:r>
          </w:p>
        </w:tc>
      </w:tr>
      <w:tr w:rsidR="005347BF" w14:paraId="18D213BC" w14:textId="77777777" w:rsidTr="005347BF">
        <w:tc>
          <w:tcPr>
            <w:tcW w:w="5000" w:type="pct"/>
            <w:shd w:val="clear" w:color="auto" w:fill="auto"/>
          </w:tcPr>
          <w:p w14:paraId="5459EC7B" w14:textId="78AD6297" w:rsidR="005347BF" w:rsidRPr="00E97C5A" w:rsidRDefault="005347BF" w:rsidP="005347BF">
            <w:pPr>
              <w:pStyle w:val="AO1"/>
              <w:numPr>
                <w:ilvl w:val="0"/>
                <w:numId w:val="0"/>
              </w:numPr>
              <w:ind w:left="720"/>
            </w:pPr>
            <w:r w:rsidRPr="00E97C5A">
              <w:t>ING BANK</w:t>
            </w:r>
            <w:r w:rsidR="00E97C5A" w:rsidRPr="00E97C5A">
              <w:t>, A BRANCH OF ING</w:t>
            </w:r>
            <w:r w:rsidR="00DB70C8">
              <w:t>-</w:t>
            </w:r>
            <w:r w:rsidR="00E97C5A" w:rsidRPr="00E97C5A">
              <w:t>DIBA AG</w:t>
            </w:r>
          </w:p>
        </w:tc>
      </w:tr>
      <w:tr w:rsidR="005347BF" w:rsidRPr="006B2A14" w14:paraId="4FE0FFE4" w14:textId="77777777" w:rsidTr="005347BF">
        <w:tc>
          <w:tcPr>
            <w:tcW w:w="5000" w:type="pct"/>
            <w:shd w:val="clear" w:color="auto" w:fill="auto"/>
          </w:tcPr>
          <w:p w14:paraId="4E4BE019" w14:textId="77777777" w:rsidR="005347BF" w:rsidRPr="00E97C5A" w:rsidRDefault="005347BF" w:rsidP="005347BF">
            <w:pPr>
              <w:pStyle w:val="AO1"/>
              <w:numPr>
                <w:ilvl w:val="0"/>
                <w:numId w:val="0"/>
              </w:numPr>
              <w:ind w:left="720"/>
              <w:rPr>
                <w:lang w:val="it-IT"/>
              </w:rPr>
            </w:pPr>
            <w:r w:rsidRPr="00E97C5A">
              <w:rPr>
                <w:lang w:val="it-IT"/>
              </w:rPr>
              <w:t>INTESA SANPAOLO BANK IRELAND PLC</w:t>
            </w:r>
          </w:p>
        </w:tc>
      </w:tr>
      <w:tr w:rsidR="005347BF" w14:paraId="08E6B202" w14:textId="77777777" w:rsidTr="005347BF">
        <w:tc>
          <w:tcPr>
            <w:tcW w:w="5000" w:type="pct"/>
            <w:shd w:val="clear" w:color="auto" w:fill="auto"/>
          </w:tcPr>
          <w:p w14:paraId="05C59B62" w14:textId="77777777" w:rsidR="005347BF" w:rsidRPr="005347BF" w:rsidRDefault="005347BF" w:rsidP="005347BF">
            <w:pPr>
              <w:pStyle w:val="AO1"/>
              <w:numPr>
                <w:ilvl w:val="0"/>
                <w:numId w:val="0"/>
              </w:numPr>
              <w:ind w:left="720"/>
            </w:pPr>
            <w:r w:rsidRPr="005347BF">
              <w:t>SGBTCI</w:t>
            </w:r>
          </w:p>
        </w:tc>
      </w:tr>
      <w:tr w:rsidR="005347BF" w14:paraId="7714B8AF" w14:textId="77777777" w:rsidTr="005347BF">
        <w:tc>
          <w:tcPr>
            <w:tcW w:w="5000" w:type="pct"/>
            <w:shd w:val="clear" w:color="auto" w:fill="auto"/>
          </w:tcPr>
          <w:p w14:paraId="15479B12" w14:textId="093D66F4" w:rsidR="005347BF" w:rsidRPr="005347BF" w:rsidRDefault="005347BF" w:rsidP="005347BF">
            <w:pPr>
              <w:pStyle w:val="AO1"/>
              <w:numPr>
                <w:ilvl w:val="0"/>
                <w:numId w:val="0"/>
              </w:numPr>
              <w:ind w:left="720"/>
            </w:pPr>
            <w:r w:rsidRPr="005347BF">
              <w:t>SGBT ASSET BASED FUNDING S.A</w:t>
            </w:r>
            <w:r w:rsidR="003E7643">
              <w:t>.</w:t>
            </w:r>
          </w:p>
        </w:tc>
      </w:tr>
      <w:tr w:rsidR="005347BF" w14:paraId="5C30E5BB" w14:textId="77777777" w:rsidTr="005347BF">
        <w:tc>
          <w:tcPr>
            <w:tcW w:w="5000" w:type="pct"/>
            <w:shd w:val="clear" w:color="auto" w:fill="auto"/>
          </w:tcPr>
          <w:p w14:paraId="70FE05C9" w14:textId="77777777" w:rsidR="005347BF" w:rsidRPr="005347BF" w:rsidRDefault="005347BF" w:rsidP="005347BF">
            <w:pPr>
              <w:pStyle w:val="AO1"/>
              <w:numPr>
                <w:ilvl w:val="0"/>
                <w:numId w:val="0"/>
              </w:numPr>
              <w:ind w:left="720"/>
            </w:pPr>
            <w:r w:rsidRPr="005347BF">
              <w:t>SIEMENS BANK GMBH</w:t>
            </w:r>
          </w:p>
        </w:tc>
      </w:tr>
    </w:tbl>
    <w:p w14:paraId="1AED1A05" w14:textId="77777777" w:rsidR="005347BF" w:rsidRPr="00592D1B" w:rsidRDefault="005347BF" w:rsidP="005347BF">
      <w:pPr>
        <w:numPr>
          <w:ilvl w:val="0"/>
          <w:numId w:val="41"/>
        </w:numPr>
        <w:spacing w:before="240" w:line="260" w:lineRule="atLeast"/>
        <w:jc w:val="both"/>
        <w:outlineLvl w:val="4"/>
        <w:rPr>
          <w:u w:val="single"/>
          <w:lang w:val="es-ES" w:eastAsia="en-GB"/>
        </w:rPr>
      </w:pPr>
      <w:r w:rsidRPr="00592D1B">
        <w:rPr>
          <w:b/>
          <w:u w:val="single"/>
          <w:lang w:val="es-ES"/>
        </w:rPr>
        <w:t xml:space="preserve">Las Entidades Financiadoras MRF 2024/The </w:t>
      </w:r>
      <w:r w:rsidRPr="00592D1B">
        <w:rPr>
          <w:b/>
          <w:u w:val="single"/>
        </w:rPr>
        <w:t>MRF Revolving Lenders 2024</w:t>
      </w:r>
    </w:p>
    <w:tbl>
      <w:tblPr>
        <w:tblW w:w="5000" w:type="pct"/>
        <w:tblLayout w:type="fixed"/>
        <w:tblCellMar>
          <w:left w:w="115" w:type="dxa"/>
          <w:right w:w="115" w:type="dxa"/>
        </w:tblCellMar>
        <w:tblLook w:val="04A0" w:firstRow="1" w:lastRow="0" w:firstColumn="1" w:lastColumn="0" w:noHBand="0" w:noVBand="1"/>
      </w:tblPr>
      <w:tblGrid>
        <w:gridCol w:w="9638"/>
      </w:tblGrid>
      <w:tr w:rsidR="005347BF" w:rsidRPr="00A4106E" w14:paraId="07AD0BF8" w14:textId="77777777" w:rsidTr="00196FCF">
        <w:tc>
          <w:tcPr>
            <w:tcW w:w="5000" w:type="pct"/>
            <w:shd w:val="clear" w:color="auto" w:fill="auto"/>
          </w:tcPr>
          <w:p w14:paraId="5BC3F579" w14:textId="77777777" w:rsidR="005347BF" w:rsidRPr="00E97C5A" w:rsidRDefault="005347BF" w:rsidP="00196FCF">
            <w:pPr>
              <w:pStyle w:val="AO1"/>
              <w:numPr>
                <w:ilvl w:val="0"/>
                <w:numId w:val="0"/>
              </w:numPr>
              <w:ind w:left="720"/>
              <w:rPr>
                <w:lang w:val="de-DE"/>
              </w:rPr>
            </w:pPr>
            <w:r w:rsidRPr="00E97C5A">
              <w:rPr>
                <w:lang w:val="de-DE"/>
              </w:rPr>
              <w:t>ABN AMRO BANK N.V.</w:t>
            </w:r>
          </w:p>
        </w:tc>
      </w:tr>
      <w:tr w:rsidR="005347BF" w:rsidRPr="005347BF" w14:paraId="5F4CE73F" w14:textId="77777777" w:rsidTr="00196FCF">
        <w:tc>
          <w:tcPr>
            <w:tcW w:w="5000" w:type="pct"/>
            <w:shd w:val="clear" w:color="auto" w:fill="auto"/>
          </w:tcPr>
          <w:p w14:paraId="14B0D7A1" w14:textId="77777777" w:rsidR="005347BF" w:rsidRPr="005347BF" w:rsidRDefault="005347BF" w:rsidP="00196FCF">
            <w:pPr>
              <w:pStyle w:val="AO1"/>
              <w:numPr>
                <w:ilvl w:val="0"/>
                <w:numId w:val="0"/>
              </w:numPr>
              <w:ind w:left="720"/>
            </w:pPr>
            <w:r w:rsidRPr="005347BF">
              <w:t>CAIXABANK, S.A. UK BRANCH</w:t>
            </w:r>
          </w:p>
        </w:tc>
      </w:tr>
      <w:tr w:rsidR="005347BF" w:rsidRPr="005347BF" w14:paraId="349CED12" w14:textId="77777777" w:rsidTr="00196FCF">
        <w:tc>
          <w:tcPr>
            <w:tcW w:w="5000" w:type="pct"/>
            <w:shd w:val="clear" w:color="auto" w:fill="auto"/>
          </w:tcPr>
          <w:p w14:paraId="245038BA" w14:textId="77777777" w:rsidR="005347BF" w:rsidRPr="005347BF" w:rsidRDefault="005347BF" w:rsidP="00196FCF">
            <w:pPr>
              <w:pStyle w:val="AO1"/>
              <w:numPr>
                <w:ilvl w:val="0"/>
                <w:numId w:val="0"/>
              </w:numPr>
              <w:ind w:left="720"/>
            </w:pPr>
            <w:r w:rsidRPr="005347BF">
              <w:t>COÖPERATIEVE RABOBANK U.A.</w:t>
            </w:r>
          </w:p>
        </w:tc>
      </w:tr>
      <w:tr w:rsidR="005347BF" w:rsidRPr="005347BF" w14:paraId="39F22058" w14:textId="77777777" w:rsidTr="00196FCF">
        <w:tc>
          <w:tcPr>
            <w:tcW w:w="5000" w:type="pct"/>
            <w:shd w:val="clear" w:color="auto" w:fill="auto"/>
          </w:tcPr>
          <w:p w14:paraId="033F998B" w14:textId="2EAC4014" w:rsidR="005347BF" w:rsidRPr="005347BF" w:rsidRDefault="005347BF" w:rsidP="00196FCF">
            <w:pPr>
              <w:pStyle w:val="AO1"/>
              <w:numPr>
                <w:ilvl w:val="0"/>
                <w:numId w:val="0"/>
              </w:numPr>
              <w:ind w:left="720"/>
            </w:pPr>
            <w:r w:rsidRPr="005347BF">
              <w:t>CR</w:t>
            </w:r>
            <w:r w:rsidR="00E97C5A">
              <w:t>É</w:t>
            </w:r>
            <w:r w:rsidRPr="005347BF">
              <w:t>DIT AGRICOLE CORPORATE AND INVESTMENT BANK</w:t>
            </w:r>
          </w:p>
        </w:tc>
      </w:tr>
      <w:tr w:rsidR="005347BF" w:rsidRPr="005347BF" w14:paraId="34FCFD06" w14:textId="77777777" w:rsidTr="00196FCF">
        <w:tc>
          <w:tcPr>
            <w:tcW w:w="5000" w:type="pct"/>
            <w:shd w:val="clear" w:color="auto" w:fill="auto"/>
          </w:tcPr>
          <w:p w14:paraId="43A1E5E3" w14:textId="2123179C" w:rsidR="005347BF" w:rsidRPr="005347BF" w:rsidRDefault="005347BF" w:rsidP="00196FCF">
            <w:pPr>
              <w:pStyle w:val="AO1"/>
              <w:numPr>
                <w:ilvl w:val="0"/>
                <w:numId w:val="0"/>
              </w:numPr>
              <w:ind w:left="720"/>
            </w:pPr>
            <w:r w:rsidRPr="005347BF">
              <w:t>ING BANK</w:t>
            </w:r>
            <w:r w:rsidR="00E97C5A" w:rsidRPr="00E97C5A">
              <w:t>, A BRANCH OF ING</w:t>
            </w:r>
            <w:r w:rsidR="00DB70C8">
              <w:t>-</w:t>
            </w:r>
            <w:r w:rsidR="00E97C5A" w:rsidRPr="00E97C5A">
              <w:t>DIBA AG</w:t>
            </w:r>
          </w:p>
        </w:tc>
      </w:tr>
      <w:tr w:rsidR="005347BF" w:rsidRPr="006B2A14" w14:paraId="1AE739CC" w14:textId="77777777" w:rsidTr="00196FCF">
        <w:tc>
          <w:tcPr>
            <w:tcW w:w="5000" w:type="pct"/>
            <w:shd w:val="clear" w:color="auto" w:fill="auto"/>
          </w:tcPr>
          <w:p w14:paraId="68839490" w14:textId="77777777" w:rsidR="005347BF" w:rsidRPr="00E97C5A" w:rsidRDefault="005347BF" w:rsidP="00196FCF">
            <w:pPr>
              <w:pStyle w:val="AO1"/>
              <w:numPr>
                <w:ilvl w:val="0"/>
                <w:numId w:val="0"/>
              </w:numPr>
              <w:ind w:left="720"/>
              <w:rPr>
                <w:lang w:val="it-IT"/>
              </w:rPr>
            </w:pPr>
            <w:r w:rsidRPr="00E97C5A">
              <w:rPr>
                <w:lang w:val="it-IT"/>
              </w:rPr>
              <w:t>INTESA SANPAOLO BANK IRELAND PLC</w:t>
            </w:r>
          </w:p>
        </w:tc>
      </w:tr>
      <w:tr w:rsidR="005347BF" w:rsidRPr="005347BF" w14:paraId="4388E958" w14:textId="77777777" w:rsidTr="00196FCF">
        <w:tc>
          <w:tcPr>
            <w:tcW w:w="5000" w:type="pct"/>
            <w:shd w:val="clear" w:color="auto" w:fill="auto"/>
          </w:tcPr>
          <w:p w14:paraId="33A106A6" w14:textId="77777777" w:rsidR="005347BF" w:rsidRPr="005347BF" w:rsidRDefault="005347BF" w:rsidP="00196FCF">
            <w:pPr>
              <w:pStyle w:val="AO1"/>
              <w:numPr>
                <w:ilvl w:val="0"/>
                <w:numId w:val="0"/>
              </w:numPr>
              <w:ind w:left="720"/>
            </w:pPr>
            <w:r w:rsidRPr="005347BF">
              <w:t>SGBTCI</w:t>
            </w:r>
          </w:p>
        </w:tc>
      </w:tr>
      <w:tr w:rsidR="008C48F2" w:rsidRPr="00CD7F22" w14:paraId="3DB4D118" w14:textId="77777777" w:rsidTr="00196FCF">
        <w:tc>
          <w:tcPr>
            <w:tcW w:w="5000" w:type="pct"/>
            <w:shd w:val="clear" w:color="auto" w:fill="auto"/>
          </w:tcPr>
          <w:p w14:paraId="54BEFB20" w14:textId="5F903323" w:rsidR="008C48F2" w:rsidRPr="00316E16" w:rsidRDefault="008C48F2" w:rsidP="00316E16">
            <w:pPr>
              <w:numPr>
                <w:ilvl w:val="0"/>
                <w:numId w:val="41"/>
              </w:numPr>
              <w:spacing w:before="240" w:line="260" w:lineRule="atLeast"/>
              <w:jc w:val="both"/>
              <w:outlineLvl w:val="4"/>
              <w:rPr>
                <w:b/>
                <w:u w:val="single"/>
                <w:lang w:val="es-ES"/>
              </w:rPr>
            </w:pPr>
            <w:r w:rsidRPr="00592D1B">
              <w:rPr>
                <w:b/>
                <w:u w:val="single"/>
                <w:lang w:val="es-ES"/>
              </w:rPr>
              <w:t>Las Entidades Financiadoras ACF 202</w:t>
            </w:r>
            <w:r>
              <w:rPr>
                <w:b/>
                <w:u w:val="single"/>
                <w:lang w:val="es-ES"/>
              </w:rPr>
              <w:t>5</w:t>
            </w:r>
            <w:r w:rsidRPr="00592D1B">
              <w:rPr>
                <w:b/>
                <w:u w:val="single"/>
                <w:lang w:val="es-ES"/>
              </w:rPr>
              <w:t xml:space="preserve">/The ACF </w:t>
            </w:r>
            <w:proofErr w:type="spellStart"/>
            <w:r w:rsidRPr="00592D1B">
              <w:rPr>
                <w:b/>
                <w:u w:val="single"/>
                <w:lang w:val="es-ES"/>
              </w:rPr>
              <w:t>Lenders</w:t>
            </w:r>
            <w:proofErr w:type="spellEnd"/>
            <w:r w:rsidRPr="00592D1B">
              <w:rPr>
                <w:b/>
                <w:u w:val="single"/>
                <w:lang w:val="es-ES"/>
              </w:rPr>
              <w:t xml:space="preserve"> 202</w:t>
            </w:r>
            <w:r>
              <w:rPr>
                <w:b/>
                <w:u w:val="single"/>
                <w:lang w:val="es-ES"/>
              </w:rPr>
              <w:t>5</w:t>
            </w:r>
          </w:p>
        </w:tc>
      </w:tr>
      <w:tr w:rsidR="008C48F2" w:rsidRPr="00BE4B3B" w14:paraId="3F139C3A" w14:textId="77777777" w:rsidTr="00196FCF">
        <w:tc>
          <w:tcPr>
            <w:tcW w:w="5000" w:type="pct"/>
            <w:shd w:val="clear" w:color="auto" w:fill="auto"/>
          </w:tcPr>
          <w:p w14:paraId="5CC650B8" w14:textId="364B761A" w:rsidR="008C48F2" w:rsidRPr="00316E16" w:rsidRDefault="00D237B2" w:rsidP="008C48F2">
            <w:pPr>
              <w:pStyle w:val="AO1"/>
              <w:numPr>
                <w:ilvl w:val="0"/>
                <w:numId w:val="0"/>
              </w:numPr>
              <w:ind w:left="720"/>
              <w:rPr>
                <w:lang w:val="it-IT"/>
              </w:rPr>
            </w:pPr>
            <w:r>
              <w:rPr>
                <w:lang w:val="es-ES"/>
              </w:rPr>
              <w:t>[</w:t>
            </w:r>
            <w:r>
              <w:rPr>
                <w:lang w:val="es-ES"/>
              </w:rPr>
              <w:sym w:font="Wingdings" w:char="F06C"/>
            </w:r>
            <w:r>
              <w:rPr>
                <w:lang w:val="es-ES"/>
              </w:rPr>
              <w:t>]</w:t>
            </w:r>
          </w:p>
        </w:tc>
      </w:tr>
      <w:tr w:rsidR="008C48F2" w:rsidRPr="005347BF" w14:paraId="0A8BC940" w14:textId="77777777" w:rsidTr="00196FCF">
        <w:tc>
          <w:tcPr>
            <w:tcW w:w="5000" w:type="pct"/>
            <w:shd w:val="clear" w:color="auto" w:fill="auto"/>
          </w:tcPr>
          <w:p w14:paraId="6E5D40CC" w14:textId="4ABD0F88" w:rsidR="008C48F2" w:rsidRPr="00316E16" w:rsidRDefault="00D237B2" w:rsidP="008C48F2">
            <w:pPr>
              <w:pStyle w:val="AO1"/>
              <w:numPr>
                <w:ilvl w:val="0"/>
                <w:numId w:val="0"/>
              </w:numPr>
              <w:ind w:left="720"/>
              <w:rPr>
                <w:lang w:val="it-IT"/>
              </w:rPr>
            </w:pPr>
            <w:r>
              <w:rPr>
                <w:lang w:val="es-ES"/>
              </w:rPr>
              <w:t>[</w:t>
            </w:r>
            <w:r>
              <w:rPr>
                <w:lang w:val="es-ES"/>
              </w:rPr>
              <w:sym w:font="Wingdings" w:char="F06C"/>
            </w:r>
            <w:r>
              <w:rPr>
                <w:lang w:val="es-ES"/>
              </w:rPr>
              <w:t>]</w:t>
            </w:r>
          </w:p>
        </w:tc>
      </w:tr>
      <w:tr w:rsidR="00D237B2" w:rsidRPr="005347BF" w14:paraId="778EAF9B" w14:textId="77777777" w:rsidTr="00196FCF">
        <w:tc>
          <w:tcPr>
            <w:tcW w:w="5000" w:type="pct"/>
            <w:shd w:val="clear" w:color="auto" w:fill="auto"/>
          </w:tcPr>
          <w:p w14:paraId="596E4D0C" w14:textId="79FCC2E3" w:rsidR="00D237B2" w:rsidRPr="00D237B2" w:rsidRDefault="00D237B2" w:rsidP="00D237B2">
            <w:pPr>
              <w:pStyle w:val="AO1"/>
              <w:numPr>
                <w:ilvl w:val="0"/>
                <w:numId w:val="0"/>
              </w:numPr>
              <w:ind w:left="720"/>
              <w:jc w:val="center"/>
            </w:pPr>
            <w:r w:rsidRPr="00CC3C24">
              <w:rPr>
                <w:b/>
                <w:bCs/>
                <w:highlight w:val="yellow"/>
              </w:rPr>
              <w:t xml:space="preserve">[N.B.: </w:t>
            </w:r>
            <w:r>
              <w:rPr>
                <w:b/>
                <w:bCs/>
                <w:highlight w:val="yellow"/>
              </w:rPr>
              <w:t>ACF Lenders</w:t>
            </w:r>
            <w:r w:rsidRPr="00CC3C24">
              <w:rPr>
                <w:b/>
                <w:bCs/>
                <w:highlight w:val="yellow"/>
              </w:rPr>
              <w:t xml:space="preserve"> 2025 to be </w:t>
            </w:r>
            <w:r>
              <w:rPr>
                <w:b/>
                <w:bCs/>
                <w:highlight w:val="yellow"/>
              </w:rPr>
              <w:t>included</w:t>
            </w:r>
            <w:r w:rsidRPr="00CC3C24">
              <w:rPr>
                <w:b/>
                <w:bCs/>
                <w:highlight w:val="yellow"/>
              </w:rPr>
              <w:t>]</w:t>
            </w:r>
          </w:p>
        </w:tc>
      </w:tr>
      <w:tr w:rsidR="00D237B2" w:rsidRPr="005347BF" w14:paraId="324F70A9" w14:textId="77777777" w:rsidTr="00196FCF">
        <w:tc>
          <w:tcPr>
            <w:tcW w:w="5000" w:type="pct"/>
            <w:shd w:val="clear" w:color="auto" w:fill="auto"/>
          </w:tcPr>
          <w:p w14:paraId="08EFD359" w14:textId="494560FA" w:rsidR="00D237B2" w:rsidRPr="007670D2" w:rsidRDefault="00D237B2" w:rsidP="00D237B2">
            <w:pPr>
              <w:numPr>
                <w:ilvl w:val="0"/>
                <w:numId w:val="41"/>
              </w:numPr>
              <w:spacing w:before="240" w:line="260" w:lineRule="atLeast"/>
              <w:jc w:val="both"/>
              <w:outlineLvl w:val="4"/>
              <w:rPr>
                <w:rFonts w:eastAsia="Calibri"/>
                <w:b/>
                <w:u w:val="single"/>
                <w:lang w:val="es-ES"/>
              </w:rPr>
            </w:pPr>
            <w:r w:rsidRPr="00527B66">
              <w:rPr>
                <w:rFonts w:eastAsia="Calibri"/>
                <w:b/>
                <w:u w:val="single"/>
                <w:lang w:val="es-ES"/>
              </w:rPr>
              <w:t xml:space="preserve">Las </w:t>
            </w:r>
            <w:r w:rsidR="00453D6A">
              <w:rPr>
                <w:rFonts w:eastAsia="Calibri"/>
                <w:b/>
                <w:u w:val="single"/>
                <w:lang w:val="es-ES"/>
              </w:rPr>
              <w:t xml:space="preserve">Nuevas </w:t>
            </w:r>
            <w:r w:rsidRPr="00527B66">
              <w:rPr>
                <w:rFonts w:eastAsia="Calibri"/>
                <w:b/>
                <w:u w:val="single"/>
                <w:lang w:val="es-ES"/>
              </w:rPr>
              <w:t xml:space="preserve">Compradoras </w:t>
            </w:r>
            <w:r>
              <w:rPr>
                <w:rFonts w:eastAsia="Calibri"/>
                <w:b/>
                <w:u w:val="single"/>
                <w:lang w:val="es-ES"/>
              </w:rPr>
              <w:t>de Bonos 2025</w:t>
            </w:r>
            <w:r w:rsidRPr="00527B66">
              <w:rPr>
                <w:rFonts w:eastAsia="Calibri"/>
                <w:b/>
                <w:u w:val="single"/>
                <w:lang w:val="es-ES"/>
              </w:rPr>
              <w:t xml:space="preserve">/The </w:t>
            </w:r>
            <w:r w:rsidR="00453D6A">
              <w:rPr>
                <w:rFonts w:eastAsia="Calibri"/>
                <w:b/>
                <w:u w:val="single"/>
                <w:lang w:val="es-ES"/>
              </w:rPr>
              <w:t xml:space="preserve">New </w:t>
            </w:r>
            <w:r>
              <w:rPr>
                <w:rFonts w:eastAsia="Calibri"/>
                <w:b/>
                <w:u w:val="single"/>
                <w:lang w:val="es-ES"/>
              </w:rPr>
              <w:t>Note</w:t>
            </w:r>
            <w:r w:rsidRPr="00527B66">
              <w:rPr>
                <w:rFonts w:eastAsia="Calibri"/>
                <w:b/>
                <w:u w:val="single"/>
                <w:lang w:val="es-ES"/>
              </w:rPr>
              <w:t xml:space="preserve"> </w:t>
            </w:r>
            <w:proofErr w:type="spellStart"/>
            <w:r w:rsidRPr="00527B66">
              <w:rPr>
                <w:rFonts w:eastAsia="Calibri"/>
                <w:b/>
                <w:u w:val="single"/>
                <w:lang w:val="es-ES"/>
              </w:rPr>
              <w:t>Purchasers</w:t>
            </w:r>
            <w:proofErr w:type="spellEnd"/>
            <w:r>
              <w:rPr>
                <w:rFonts w:eastAsia="Calibri"/>
                <w:b/>
                <w:u w:val="single"/>
                <w:lang w:val="es-ES"/>
              </w:rPr>
              <w:t xml:space="preserve"> 2025</w:t>
            </w:r>
          </w:p>
          <w:p w14:paraId="2FB44889" w14:textId="752814D6" w:rsidR="00D237B2" w:rsidRPr="005347BF" w:rsidRDefault="00D237B2" w:rsidP="00D237B2">
            <w:pPr>
              <w:pStyle w:val="AO1"/>
              <w:numPr>
                <w:ilvl w:val="0"/>
                <w:numId w:val="0"/>
              </w:numPr>
              <w:ind w:left="720"/>
            </w:pPr>
            <w:r>
              <w:t>[</w:t>
            </w:r>
            <w:r>
              <w:sym w:font="Wingdings" w:char="F06C"/>
            </w:r>
            <w:r>
              <w:t>]</w:t>
            </w:r>
          </w:p>
        </w:tc>
      </w:tr>
      <w:tr w:rsidR="00D237B2" w:rsidRPr="005347BF" w14:paraId="351F1814" w14:textId="77777777" w:rsidTr="00196FCF">
        <w:tc>
          <w:tcPr>
            <w:tcW w:w="5000" w:type="pct"/>
            <w:shd w:val="clear" w:color="auto" w:fill="auto"/>
          </w:tcPr>
          <w:p w14:paraId="1FB31AFD" w14:textId="0036ECFD" w:rsidR="00D237B2" w:rsidRPr="005347BF" w:rsidRDefault="00D237B2" w:rsidP="00D237B2">
            <w:pPr>
              <w:pStyle w:val="AO1"/>
              <w:numPr>
                <w:ilvl w:val="0"/>
                <w:numId w:val="0"/>
              </w:numPr>
              <w:ind w:left="720"/>
            </w:pPr>
            <w:r>
              <w:t>[</w:t>
            </w:r>
            <w:r>
              <w:sym w:font="Wingdings" w:char="F06C"/>
            </w:r>
            <w:r>
              <w:t>]</w:t>
            </w:r>
          </w:p>
        </w:tc>
      </w:tr>
      <w:tr w:rsidR="00D237B2" w:rsidRPr="00216294" w14:paraId="313486A8" w14:textId="77777777" w:rsidTr="00631B5E">
        <w:tc>
          <w:tcPr>
            <w:tcW w:w="5000" w:type="pct"/>
            <w:shd w:val="clear" w:color="auto" w:fill="auto"/>
          </w:tcPr>
          <w:p w14:paraId="612DB2E3" w14:textId="0A4D69FC" w:rsidR="00D237B2" w:rsidRPr="00CC3C24" w:rsidRDefault="00D237B2" w:rsidP="00D237B2">
            <w:pPr>
              <w:pStyle w:val="AO1"/>
              <w:numPr>
                <w:ilvl w:val="0"/>
                <w:numId w:val="0"/>
              </w:numPr>
              <w:jc w:val="center"/>
              <w:rPr>
                <w:b/>
                <w:bCs/>
                <w:highlight w:val="yellow"/>
              </w:rPr>
            </w:pPr>
            <w:r w:rsidRPr="00CC3C24">
              <w:rPr>
                <w:b/>
                <w:bCs/>
                <w:highlight w:val="yellow"/>
              </w:rPr>
              <w:t>[N.B.: N</w:t>
            </w:r>
            <w:r w:rsidR="00453D6A">
              <w:rPr>
                <w:b/>
                <w:bCs/>
                <w:highlight w:val="yellow"/>
              </w:rPr>
              <w:t>ew N</w:t>
            </w:r>
            <w:r w:rsidRPr="00CC3C24">
              <w:rPr>
                <w:b/>
                <w:bCs/>
                <w:highlight w:val="yellow"/>
              </w:rPr>
              <w:t xml:space="preserve">ote Purchasers 2025 to be </w:t>
            </w:r>
            <w:r>
              <w:rPr>
                <w:b/>
                <w:bCs/>
                <w:highlight w:val="yellow"/>
              </w:rPr>
              <w:t>included</w:t>
            </w:r>
            <w:r w:rsidRPr="00CC3C24">
              <w:rPr>
                <w:b/>
                <w:bCs/>
                <w:highlight w:val="yellow"/>
              </w:rPr>
              <w:t>]</w:t>
            </w:r>
          </w:p>
        </w:tc>
      </w:tr>
    </w:tbl>
    <w:p w14:paraId="70C6F3E2" w14:textId="6CAEE529" w:rsidR="005347BF" w:rsidRPr="00316E16" w:rsidRDefault="005347BF" w:rsidP="005347BF">
      <w:pPr>
        <w:spacing w:before="240" w:line="260" w:lineRule="atLeast"/>
        <w:ind w:left="360"/>
        <w:jc w:val="both"/>
        <w:outlineLvl w:val="4"/>
        <w:rPr>
          <w:lang w:eastAsia="en-GB"/>
        </w:rPr>
      </w:pPr>
    </w:p>
    <w:tbl>
      <w:tblPr>
        <w:tblW w:w="5000" w:type="pct"/>
        <w:tblLayout w:type="fixed"/>
        <w:tblCellMar>
          <w:left w:w="115" w:type="dxa"/>
          <w:right w:w="115" w:type="dxa"/>
        </w:tblCellMar>
        <w:tblLook w:val="04A0" w:firstRow="1" w:lastRow="0" w:firstColumn="1" w:lastColumn="0" w:noHBand="0" w:noVBand="1"/>
      </w:tblPr>
      <w:tblGrid>
        <w:gridCol w:w="9638"/>
      </w:tblGrid>
      <w:tr w:rsidR="000B6DA4" w:rsidRPr="005347BF" w14:paraId="18C78455" w14:textId="77777777" w:rsidTr="00DF1C19">
        <w:tc>
          <w:tcPr>
            <w:tcW w:w="5000" w:type="pct"/>
            <w:shd w:val="clear" w:color="auto" w:fill="auto"/>
          </w:tcPr>
          <w:p w14:paraId="35839CE7" w14:textId="63855203" w:rsidR="000B6DA4" w:rsidRPr="007670D2" w:rsidRDefault="000B6DA4" w:rsidP="000B6DA4">
            <w:pPr>
              <w:numPr>
                <w:ilvl w:val="0"/>
                <w:numId w:val="68"/>
              </w:numPr>
              <w:spacing w:before="240" w:line="260" w:lineRule="atLeast"/>
              <w:jc w:val="both"/>
              <w:outlineLvl w:val="4"/>
              <w:rPr>
                <w:rFonts w:eastAsia="Calibri"/>
                <w:b/>
                <w:u w:val="single"/>
                <w:lang w:val="es-ES"/>
              </w:rPr>
            </w:pPr>
            <w:r w:rsidRPr="00527B66">
              <w:rPr>
                <w:rFonts w:eastAsia="Calibri"/>
                <w:b/>
                <w:u w:val="single"/>
                <w:lang w:val="es-ES"/>
              </w:rPr>
              <w:t xml:space="preserve">Las </w:t>
            </w:r>
            <w:r>
              <w:rPr>
                <w:rFonts w:eastAsia="Calibri"/>
                <w:b/>
                <w:u w:val="single"/>
                <w:lang w:val="es-ES"/>
              </w:rPr>
              <w:t xml:space="preserve">Nuevas </w:t>
            </w:r>
            <w:r w:rsidRPr="00527B66">
              <w:rPr>
                <w:rFonts w:eastAsia="Calibri"/>
                <w:b/>
                <w:u w:val="single"/>
                <w:lang w:val="es-ES"/>
              </w:rPr>
              <w:t>Entidades de Cobertura /</w:t>
            </w:r>
            <w:r>
              <w:rPr>
                <w:rFonts w:eastAsia="Calibri"/>
                <w:b/>
                <w:u w:val="single"/>
                <w:lang w:val="es-ES"/>
              </w:rPr>
              <w:t xml:space="preserve"> </w:t>
            </w:r>
            <w:proofErr w:type="spellStart"/>
            <w:r w:rsidRPr="00527B66">
              <w:rPr>
                <w:rFonts w:eastAsia="Calibri"/>
                <w:b/>
                <w:u w:val="single"/>
                <w:lang w:val="es-ES"/>
              </w:rPr>
              <w:t>the</w:t>
            </w:r>
            <w:proofErr w:type="spellEnd"/>
            <w:r w:rsidRPr="00527B66">
              <w:rPr>
                <w:rFonts w:eastAsia="Calibri"/>
                <w:b/>
                <w:u w:val="single"/>
                <w:lang w:val="es-ES"/>
              </w:rPr>
              <w:t xml:space="preserve"> </w:t>
            </w:r>
            <w:r>
              <w:rPr>
                <w:rFonts w:eastAsia="Calibri"/>
                <w:b/>
                <w:u w:val="single"/>
                <w:lang w:val="es-ES"/>
              </w:rPr>
              <w:t xml:space="preserve">New </w:t>
            </w:r>
            <w:proofErr w:type="spellStart"/>
            <w:r w:rsidRPr="00527B66">
              <w:rPr>
                <w:rFonts w:eastAsia="Calibri"/>
                <w:b/>
                <w:u w:val="single"/>
                <w:lang w:val="es-ES"/>
              </w:rPr>
              <w:t>Hedge</w:t>
            </w:r>
            <w:proofErr w:type="spellEnd"/>
            <w:r w:rsidRPr="00527B66">
              <w:rPr>
                <w:rFonts w:eastAsia="Calibri"/>
                <w:b/>
                <w:u w:val="single"/>
                <w:lang w:val="es-ES"/>
              </w:rPr>
              <w:t xml:space="preserve"> </w:t>
            </w:r>
            <w:proofErr w:type="spellStart"/>
            <w:r w:rsidRPr="00527B66">
              <w:rPr>
                <w:rFonts w:eastAsia="Calibri"/>
                <w:b/>
                <w:u w:val="single"/>
                <w:lang w:val="es-ES"/>
              </w:rPr>
              <w:t>Counterparties</w:t>
            </w:r>
            <w:proofErr w:type="spellEnd"/>
          </w:p>
          <w:p w14:paraId="15271E71" w14:textId="77777777" w:rsidR="000B6DA4" w:rsidRPr="005347BF" w:rsidRDefault="000B6DA4" w:rsidP="00DF1C19">
            <w:pPr>
              <w:pStyle w:val="AO1"/>
              <w:numPr>
                <w:ilvl w:val="0"/>
                <w:numId w:val="0"/>
              </w:numPr>
              <w:ind w:left="720"/>
            </w:pPr>
            <w:r>
              <w:t>[</w:t>
            </w:r>
            <w:r>
              <w:sym w:font="Wingdings" w:char="F06C"/>
            </w:r>
            <w:r>
              <w:t>]</w:t>
            </w:r>
          </w:p>
        </w:tc>
      </w:tr>
      <w:tr w:rsidR="000B6DA4" w:rsidRPr="005347BF" w14:paraId="7A9C3FFD" w14:textId="77777777" w:rsidTr="00DF1C19">
        <w:tc>
          <w:tcPr>
            <w:tcW w:w="5000" w:type="pct"/>
            <w:shd w:val="clear" w:color="auto" w:fill="auto"/>
          </w:tcPr>
          <w:p w14:paraId="392C7BF5" w14:textId="77777777" w:rsidR="000B6DA4" w:rsidRPr="005347BF" w:rsidRDefault="000B6DA4" w:rsidP="00DF1C19">
            <w:pPr>
              <w:pStyle w:val="AO1"/>
              <w:numPr>
                <w:ilvl w:val="0"/>
                <w:numId w:val="0"/>
              </w:numPr>
              <w:ind w:left="720"/>
            </w:pPr>
            <w:r>
              <w:t>[</w:t>
            </w:r>
            <w:r>
              <w:sym w:font="Wingdings" w:char="F06C"/>
            </w:r>
            <w:r>
              <w:t>]</w:t>
            </w:r>
          </w:p>
        </w:tc>
      </w:tr>
    </w:tbl>
    <w:p w14:paraId="1A35F629" w14:textId="019C2A06" w:rsidR="005347BF" w:rsidRPr="00316E16" w:rsidRDefault="000B6DA4" w:rsidP="000B6DA4">
      <w:pPr>
        <w:pStyle w:val="AODocTxt"/>
        <w:jc w:val="center"/>
        <w:rPr>
          <w:lang w:eastAsia="en-GB"/>
        </w:rPr>
      </w:pPr>
      <w:r w:rsidRPr="00CC3C24">
        <w:rPr>
          <w:b/>
          <w:bCs/>
          <w:highlight w:val="yellow"/>
        </w:rPr>
        <w:t>[N.B.: N</w:t>
      </w:r>
      <w:r>
        <w:rPr>
          <w:b/>
          <w:bCs/>
          <w:highlight w:val="yellow"/>
        </w:rPr>
        <w:t>ew Hedging Counterparties</w:t>
      </w:r>
      <w:r w:rsidRPr="00CC3C24">
        <w:rPr>
          <w:b/>
          <w:bCs/>
          <w:highlight w:val="yellow"/>
        </w:rPr>
        <w:t xml:space="preserve"> to be </w:t>
      </w:r>
      <w:r>
        <w:rPr>
          <w:b/>
          <w:bCs/>
          <w:highlight w:val="yellow"/>
        </w:rPr>
        <w:t>included</w:t>
      </w:r>
      <w:r w:rsidRPr="00CC3C24">
        <w:rPr>
          <w:b/>
          <w:bCs/>
          <w:highlight w:val="yellow"/>
        </w:rPr>
        <w:t>]</w:t>
      </w:r>
    </w:p>
    <w:p w14:paraId="224C842D" w14:textId="77777777" w:rsidR="00D67D0C" w:rsidRPr="00316E16" w:rsidRDefault="00D67D0C" w:rsidP="000A0408">
      <w:pPr>
        <w:pStyle w:val="AOAnxHead"/>
      </w:pPr>
      <w:bookmarkStart w:id="154" w:name="_Ref531428955"/>
      <w:bookmarkStart w:id="155" w:name="_Ref446467625"/>
      <w:bookmarkStart w:id="156" w:name="_Ref446467791"/>
      <w:bookmarkStart w:id="157" w:name="_Ref446467985"/>
      <w:bookmarkStart w:id="158" w:name="_Ref446468472"/>
      <w:bookmarkStart w:id="159" w:name="_Ref448472226"/>
      <w:bookmarkStart w:id="160" w:name="_Ref448472252"/>
      <w:bookmarkStart w:id="161" w:name="_Ref511388204"/>
    </w:p>
    <w:p w14:paraId="6C777DCC" w14:textId="13F71F67" w:rsidR="00A4422A" w:rsidRPr="006871CA" w:rsidRDefault="00A4422A" w:rsidP="00A4422A">
      <w:pPr>
        <w:pStyle w:val="AOAnxTitle"/>
        <w:widowControl w:val="0"/>
        <w:rPr>
          <w:lang w:val="es-ES"/>
        </w:rPr>
      </w:pPr>
      <w:bookmarkStart w:id="162" w:name="_Toc164071536"/>
      <w:bookmarkEnd w:id="154"/>
      <w:bookmarkEnd w:id="155"/>
      <w:bookmarkEnd w:id="156"/>
      <w:bookmarkEnd w:id="157"/>
      <w:bookmarkEnd w:id="158"/>
      <w:bookmarkEnd w:id="159"/>
      <w:bookmarkEnd w:id="160"/>
      <w:bookmarkEnd w:id="161"/>
      <w:r>
        <w:rPr>
          <w:lang w:val="es-ES"/>
        </w:rPr>
        <w:t>C</w:t>
      </w:r>
      <w:r w:rsidRPr="00C71BF4">
        <w:rPr>
          <w:lang w:val="es-ES"/>
        </w:rPr>
        <w:t xml:space="preserve">opia de los títulos de propiedad con </w:t>
      </w:r>
      <w:r w:rsidR="00EF21E0">
        <w:rPr>
          <w:lang w:val="es-ES"/>
        </w:rPr>
        <w:t>LA</w:t>
      </w:r>
      <w:r w:rsidR="00E90587">
        <w:rPr>
          <w:lang w:val="es-ES"/>
        </w:rPr>
        <w:t xml:space="preserve"> </w:t>
      </w:r>
      <w:r w:rsidR="00417FAE">
        <w:rPr>
          <w:lang w:val="es-ES"/>
        </w:rPr>
        <w:t xml:space="preserve">Novación, la </w:t>
      </w:r>
      <w:r w:rsidRPr="00C71BF4">
        <w:rPr>
          <w:lang w:val="es-ES"/>
        </w:rPr>
        <w:t>extensión y ratificación de la</w:t>
      </w:r>
      <w:r w:rsidR="00245D63">
        <w:rPr>
          <w:lang w:val="es-ES"/>
        </w:rPr>
        <w:t xml:space="preserve"> prenda </w:t>
      </w:r>
      <w:r w:rsidRPr="00C71BF4">
        <w:rPr>
          <w:lang w:val="es-ES"/>
        </w:rPr>
        <w:t>sobre participaciones</w:t>
      </w:r>
      <w:r w:rsidR="00245D63">
        <w:rPr>
          <w:lang w:val="es-ES"/>
        </w:rPr>
        <w:t xml:space="preserve"> anotada</w:t>
      </w:r>
      <w:bookmarkEnd w:id="162"/>
    </w:p>
    <w:p w14:paraId="3F21F7F1" w14:textId="77777777" w:rsidR="00A4422A" w:rsidRDefault="00A4422A" w:rsidP="00A4422A">
      <w:pPr>
        <w:pStyle w:val="AODocTxt"/>
        <w:widowControl w:val="0"/>
        <w:spacing w:after="240"/>
        <w:jc w:val="center"/>
      </w:pPr>
      <w:r w:rsidRPr="006871CA">
        <w:t>/</w:t>
      </w:r>
    </w:p>
    <w:p w14:paraId="1531A3B5" w14:textId="77777777" w:rsidR="00A4422A" w:rsidRPr="008913A2" w:rsidRDefault="00A4422A" w:rsidP="00A4422A">
      <w:pPr>
        <w:pStyle w:val="Heading1"/>
        <w:keepNext w:val="0"/>
        <w:widowControl w:val="0"/>
        <w:jc w:val="center"/>
      </w:pPr>
      <w:bookmarkStart w:id="163" w:name="_Ref66807959"/>
      <w:bookmarkStart w:id="164" w:name="_Ref86085492"/>
      <w:r w:rsidRPr="008913A2">
        <w:t>A</w:t>
      </w:r>
      <w:r>
        <w:t>nnex</w:t>
      </w:r>
      <w:r w:rsidRPr="008913A2">
        <w:t xml:space="preserve"> </w:t>
      </w:r>
      <w:bookmarkEnd w:id="163"/>
      <w:bookmarkEnd w:id="164"/>
      <w:r w:rsidR="00124DD2">
        <w:t>2</w:t>
      </w:r>
    </w:p>
    <w:p w14:paraId="2C621159" w14:textId="125601D4" w:rsidR="00A4422A" w:rsidRDefault="00A4422A" w:rsidP="00A4422A">
      <w:pPr>
        <w:pStyle w:val="AOLocation"/>
        <w:widowControl w:val="0"/>
        <w:spacing w:before="240"/>
      </w:pPr>
      <w:bookmarkStart w:id="165" w:name="_Toc43146091"/>
      <w:bookmarkStart w:id="166" w:name="_Toc164071540"/>
      <w:bookmarkStart w:id="167" w:name="_Toc41036278"/>
      <w:bookmarkStart w:id="168" w:name="_Toc61953143"/>
      <w:bookmarkStart w:id="169" w:name="_Toc65597042"/>
      <w:r>
        <w:t xml:space="preserve">Copy of the </w:t>
      </w:r>
      <w:r w:rsidR="00BB1E85">
        <w:t>o</w:t>
      </w:r>
      <w:r>
        <w:t xml:space="preserve">wnership </w:t>
      </w:r>
      <w:r w:rsidR="00BB1E85">
        <w:t>t</w:t>
      </w:r>
      <w:r w:rsidRPr="006871CA">
        <w:t>itles with the</w:t>
      </w:r>
      <w:r w:rsidR="00E90587">
        <w:t xml:space="preserve"> </w:t>
      </w:r>
      <w:r w:rsidR="00417FAE">
        <w:t xml:space="preserve">Amendment, the </w:t>
      </w:r>
      <w:r w:rsidRPr="006871CA">
        <w:t xml:space="preserve">extension and ratification of the </w:t>
      </w:r>
      <w:bookmarkEnd w:id="165"/>
      <w:r w:rsidR="00BB1E85">
        <w:t>p</w:t>
      </w:r>
      <w:r w:rsidRPr="006871CA">
        <w:t xml:space="preserve">ledge over </w:t>
      </w:r>
      <w:r w:rsidR="00BB1E85">
        <w:t>Q</w:t>
      </w:r>
      <w:r>
        <w:t xml:space="preserve">uota </w:t>
      </w:r>
      <w:r w:rsidR="00BB1E85">
        <w:t>S</w:t>
      </w:r>
      <w:r>
        <w:t>hares</w:t>
      </w:r>
      <w:r w:rsidR="00245D63">
        <w:t xml:space="preserve"> included</w:t>
      </w:r>
      <w:bookmarkEnd w:id="166"/>
      <w:r w:rsidRPr="006871CA">
        <w:t xml:space="preserve"> </w:t>
      </w:r>
      <w:bookmarkEnd w:id="167"/>
      <w:bookmarkEnd w:id="168"/>
      <w:bookmarkEnd w:id="169"/>
    </w:p>
    <w:p w14:paraId="49405ED2" w14:textId="77777777" w:rsidR="00527B66" w:rsidRDefault="00527B66" w:rsidP="00527B66">
      <w:pPr>
        <w:pStyle w:val="AODocTxt"/>
      </w:pPr>
    </w:p>
    <w:p w14:paraId="45826FD0" w14:textId="77777777" w:rsidR="00527B66" w:rsidRDefault="00527B66" w:rsidP="00527B66">
      <w:pPr>
        <w:pStyle w:val="AODocTxt"/>
      </w:pPr>
    </w:p>
    <w:p w14:paraId="38084A04" w14:textId="77777777" w:rsidR="00527B66" w:rsidRDefault="00527B66" w:rsidP="00527B66">
      <w:pPr>
        <w:pStyle w:val="AODocTxt"/>
      </w:pPr>
    </w:p>
    <w:p w14:paraId="310C51EC" w14:textId="77777777" w:rsidR="00527B66" w:rsidRDefault="00527B66" w:rsidP="00527B66">
      <w:pPr>
        <w:pStyle w:val="AODocTxt"/>
      </w:pPr>
    </w:p>
    <w:p w14:paraId="40AF95BD" w14:textId="77777777" w:rsidR="00527B66" w:rsidRDefault="00527B66" w:rsidP="004E1813">
      <w:pPr>
        <w:spacing w:line="260" w:lineRule="atLeast"/>
        <w:sectPr w:rsidR="00527B66" w:rsidSect="00D67D0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588" w:right="1134" w:bottom="1021" w:left="1134" w:header="851" w:footer="454" w:gutter="0"/>
          <w:cols w:space="708"/>
          <w:docGrid w:linePitch="360"/>
        </w:sectPr>
      </w:pPr>
    </w:p>
    <w:p w14:paraId="2B1046AF" w14:textId="77777777" w:rsidR="00A4422A" w:rsidRPr="004E1813" w:rsidRDefault="00A4422A" w:rsidP="004E1813">
      <w:pPr>
        <w:spacing w:line="260" w:lineRule="atLeast"/>
        <w:rPr>
          <w:b/>
          <w:caps/>
        </w:rPr>
      </w:pPr>
    </w:p>
    <w:p w14:paraId="2A7464F1" w14:textId="77777777" w:rsidR="00A4422A" w:rsidRPr="006871CA" w:rsidRDefault="00A4422A" w:rsidP="00A4422A">
      <w:pPr>
        <w:pStyle w:val="AOAnxHead"/>
        <w:pageBreakBefore w:val="0"/>
        <w:widowControl w:val="0"/>
      </w:pPr>
      <w:bookmarkStart w:id="172" w:name="_Ref41051485"/>
    </w:p>
    <w:p w14:paraId="4E514253" w14:textId="77777777" w:rsidR="00A4422A" w:rsidRPr="006871CA" w:rsidRDefault="00A4422A" w:rsidP="00A4422A">
      <w:pPr>
        <w:pStyle w:val="AOAnxTitle"/>
        <w:widowControl w:val="0"/>
        <w:rPr>
          <w:lang w:val="es-ES"/>
        </w:rPr>
      </w:pPr>
      <w:bookmarkStart w:id="173" w:name="_Toc41036274"/>
      <w:bookmarkStart w:id="174" w:name="_Toc43146099"/>
      <w:bookmarkStart w:id="175" w:name="_Toc53600965"/>
      <w:bookmarkStart w:id="176" w:name="_Toc65597032"/>
      <w:bookmarkStart w:id="177" w:name="_Toc164071537"/>
      <w:bookmarkEnd w:id="172"/>
      <w:r w:rsidRPr="006871CA">
        <w:rPr>
          <w:lang w:val="es-ES"/>
        </w:rPr>
        <w:t>Copia del certificado de persona con facultad certificante</w:t>
      </w:r>
      <w:bookmarkEnd w:id="173"/>
      <w:bookmarkEnd w:id="174"/>
      <w:bookmarkEnd w:id="175"/>
      <w:bookmarkEnd w:id="176"/>
      <w:bookmarkEnd w:id="177"/>
      <w:r>
        <w:rPr>
          <w:lang w:val="es-ES"/>
        </w:rPr>
        <w:t xml:space="preserve"> </w:t>
      </w:r>
    </w:p>
    <w:p w14:paraId="1E6A3CA7" w14:textId="77777777" w:rsidR="00A4422A" w:rsidRDefault="00A4422A" w:rsidP="00A4422A">
      <w:pPr>
        <w:widowControl w:val="0"/>
        <w:spacing w:before="240" w:after="240" w:line="260" w:lineRule="atLeast"/>
        <w:jc w:val="center"/>
      </w:pPr>
      <w:r w:rsidRPr="006871CA">
        <w:t>/</w:t>
      </w:r>
    </w:p>
    <w:p w14:paraId="6CA5859E" w14:textId="77777777" w:rsidR="00A4422A" w:rsidRPr="008913A2" w:rsidRDefault="00A4422A" w:rsidP="00A4422A">
      <w:pPr>
        <w:pStyle w:val="Heading1"/>
        <w:keepNext w:val="0"/>
        <w:widowControl w:val="0"/>
        <w:jc w:val="center"/>
      </w:pPr>
      <w:bookmarkStart w:id="178" w:name="_Ref66808022"/>
      <w:r w:rsidRPr="008913A2">
        <w:t>A</w:t>
      </w:r>
      <w:r>
        <w:t>nnex</w:t>
      </w:r>
      <w:bookmarkEnd w:id="178"/>
      <w:r>
        <w:t xml:space="preserve"> </w:t>
      </w:r>
      <w:r w:rsidR="00C45086">
        <w:t>3</w:t>
      </w:r>
    </w:p>
    <w:p w14:paraId="2503EC05" w14:textId="77777777" w:rsidR="00A4422A" w:rsidRPr="002A034E" w:rsidRDefault="00A4422A" w:rsidP="00A4422A">
      <w:pPr>
        <w:pStyle w:val="AOLocation"/>
        <w:widowControl w:val="0"/>
        <w:spacing w:before="240"/>
      </w:pPr>
      <w:bookmarkStart w:id="179" w:name="_Toc41036279"/>
      <w:bookmarkStart w:id="180" w:name="_Toc43146092"/>
      <w:bookmarkStart w:id="181" w:name="_Toc61953144"/>
      <w:bookmarkStart w:id="182" w:name="_Toc65597043"/>
      <w:bookmarkStart w:id="183" w:name="_Toc164071541"/>
      <w:r w:rsidRPr="002A034E">
        <w:t>Copy of the certificate issued by the person with the power to certify</w:t>
      </w:r>
      <w:bookmarkEnd w:id="179"/>
      <w:bookmarkEnd w:id="180"/>
      <w:bookmarkEnd w:id="181"/>
      <w:bookmarkEnd w:id="182"/>
      <w:bookmarkEnd w:id="183"/>
    </w:p>
    <w:p w14:paraId="22824BC4" w14:textId="77777777" w:rsidR="004A1C24" w:rsidRDefault="004A1C24">
      <w:pPr>
        <w:spacing w:line="260" w:lineRule="atLeast"/>
      </w:pPr>
      <w:bookmarkStart w:id="184" w:name="_Ref62555334"/>
      <w:bookmarkEnd w:id="146"/>
      <w:bookmarkEnd w:id="184"/>
      <w:r>
        <w:br w:type="page"/>
      </w:r>
    </w:p>
    <w:p w14:paraId="7BA170C5" w14:textId="77777777" w:rsidR="004A1C24" w:rsidRPr="006871CA" w:rsidRDefault="004A1C24" w:rsidP="004A1C24">
      <w:pPr>
        <w:pStyle w:val="AOAnxHead"/>
        <w:pageBreakBefore w:val="0"/>
        <w:widowControl w:val="0"/>
      </w:pPr>
    </w:p>
    <w:p w14:paraId="7B703C36" w14:textId="41751A16" w:rsidR="004A1C24" w:rsidRPr="006871CA" w:rsidRDefault="004A1C24" w:rsidP="004A1C24">
      <w:pPr>
        <w:pStyle w:val="AOAnxTitle"/>
        <w:widowControl w:val="0"/>
        <w:rPr>
          <w:lang w:val="es-ES"/>
        </w:rPr>
      </w:pPr>
      <w:bookmarkStart w:id="185" w:name="_Toc164071538"/>
      <w:r>
        <w:rPr>
          <w:lang w:val="es-ES"/>
        </w:rPr>
        <w:t>M</w:t>
      </w:r>
      <w:r w:rsidR="00413F1B">
        <w:rPr>
          <w:lang w:val="es-ES"/>
        </w:rPr>
        <w:t>odelo de notificación al banco depositario</w:t>
      </w:r>
      <w:bookmarkEnd w:id="185"/>
      <w:r w:rsidR="00413F1B">
        <w:rPr>
          <w:lang w:val="es-ES"/>
        </w:rPr>
        <w:t xml:space="preserve"> </w:t>
      </w:r>
    </w:p>
    <w:p w14:paraId="1BC2CD32" w14:textId="77777777" w:rsidR="004A1C24" w:rsidRDefault="004A1C24" w:rsidP="004A1C24">
      <w:pPr>
        <w:widowControl w:val="0"/>
        <w:spacing w:before="240" w:after="240" w:line="260" w:lineRule="atLeast"/>
        <w:jc w:val="center"/>
      </w:pPr>
      <w:r w:rsidRPr="006871CA">
        <w:t>/</w:t>
      </w:r>
    </w:p>
    <w:p w14:paraId="1B46A818" w14:textId="77777777" w:rsidR="004A1C24" w:rsidRPr="008913A2" w:rsidRDefault="004A1C24" w:rsidP="004A1C24">
      <w:pPr>
        <w:pStyle w:val="Heading1"/>
        <w:keepNext w:val="0"/>
        <w:widowControl w:val="0"/>
        <w:jc w:val="center"/>
      </w:pPr>
      <w:r w:rsidRPr="008913A2">
        <w:t>A</w:t>
      </w:r>
      <w:r>
        <w:t xml:space="preserve">nnex </w:t>
      </w:r>
      <w:r w:rsidR="00727A92">
        <w:t>4</w:t>
      </w:r>
    </w:p>
    <w:p w14:paraId="00AB6BA7" w14:textId="53BDD36A" w:rsidR="004A1C24" w:rsidRDefault="004A1C24" w:rsidP="004A1C24">
      <w:pPr>
        <w:pStyle w:val="AOLocation"/>
        <w:widowControl w:val="0"/>
        <w:spacing w:before="240"/>
      </w:pPr>
      <w:bookmarkStart w:id="186" w:name="_Toc164071542"/>
      <w:r>
        <w:t>F</w:t>
      </w:r>
      <w:r w:rsidR="00413F1B">
        <w:t>orm of notice to the depositary bank</w:t>
      </w:r>
      <w:bookmarkEnd w:id="186"/>
      <w:r w:rsidR="00413F1B">
        <w:t xml:space="preserve"> </w:t>
      </w:r>
    </w:p>
    <w:p w14:paraId="4B4D8B5B" w14:textId="77777777" w:rsidR="004A1C24" w:rsidRDefault="004A1C24" w:rsidP="004A1C24">
      <w:pPr>
        <w:pStyle w:val="AOLocation"/>
        <w:widowControl w:val="0"/>
        <w:spacing w:before="240"/>
      </w:pPr>
    </w:p>
    <w:tbl>
      <w:tblPr>
        <w:tblW w:w="9747" w:type="dxa"/>
        <w:tblCellMar>
          <w:left w:w="0" w:type="dxa"/>
          <w:right w:w="0" w:type="dxa"/>
        </w:tblCellMar>
        <w:tblLook w:val="04A0" w:firstRow="1" w:lastRow="0" w:firstColumn="1" w:lastColumn="0" w:noHBand="0" w:noVBand="1"/>
      </w:tblPr>
      <w:tblGrid>
        <w:gridCol w:w="4873"/>
        <w:gridCol w:w="51"/>
        <w:gridCol w:w="4823"/>
      </w:tblGrid>
      <w:tr w:rsidR="00751AAF" w:rsidRPr="001227E6" w14:paraId="2F1D9F94" w14:textId="77777777" w:rsidTr="00F726D8">
        <w:tc>
          <w:tcPr>
            <w:tcW w:w="4924" w:type="dxa"/>
            <w:gridSpan w:val="2"/>
            <w:tcMar>
              <w:top w:w="0" w:type="dxa"/>
              <w:left w:w="108" w:type="dxa"/>
              <w:bottom w:w="0" w:type="dxa"/>
              <w:right w:w="108" w:type="dxa"/>
            </w:tcMar>
            <w:hideMark/>
          </w:tcPr>
          <w:p w14:paraId="78E809E8" w14:textId="77777777" w:rsidR="00751AAF" w:rsidRPr="00BC47B1" w:rsidRDefault="00751AAF" w:rsidP="00F726D8">
            <w:pPr>
              <w:rPr>
                <w:i/>
              </w:rPr>
            </w:pPr>
            <w:r w:rsidRPr="00BC47B1">
              <w:rPr>
                <w:i/>
              </w:rPr>
              <w:t>[Name of Depositary Bank]</w:t>
            </w:r>
          </w:p>
          <w:p w14:paraId="78D10B81" w14:textId="77777777" w:rsidR="00751AAF" w:rsidRPr="00BC47B1" w:rsidRDefault="00751AAF" w:rsidP="00F726D8">
            <w:r w:rsidRPr="00BC47B1">
              <w:t>[</w:t>
            </w:r>
            <w:r w:rsidRPr="00BC47B1">
              <w:rPr>
                <w:i/>
              </w:rPr>
              <w:t>Address</w:t>
            </w:r>
            <w:r w:rsidRPr="00BC47B1">
              <w:t>]</w:t>
            </w:r>
          </w:p>
          <w:p w14:paraId="06B34861" w14:textId="77777777" w:rsidR="00751AAF" w:rsidRPr="001227E6" w:rsidRDefault="00751AAF" w:rsidP="00F726D8">
            <w:pPr>
              <w:rPr>
                <w:lang w:val="es"/>
              </w:rPr>
            </w:pPr>
            <w:r w:rsidRPr="001227E6">
              <w:rPr>
                <w:lang w:val="es"/>
              </w:rPr>
              <w:t>Tfno.: [</w:t>
            </w:r>
            <w:r w:rsidRPr="001227E6">
              <w:rPr>
                <w:rFonts w:ascii="Wingdings" w:hAnsi="Wingdings"/>
                <w:lang w:val="es"/>
              </w:rPr>
              <w:sym w:font="Wingdings" w:char="F06C"/>
            </w:r>
            <w:r w:rsidRPr="001227E6">
              <w:rPr>
                <w:lang w:val="es"/>
              </w:rPr>
              <w:t>]</w:t>
            </w:r>
          </w:p>
          <w:p w14:paraId="26EC7619" w14:textId="77777777" w:rsidR="00751AAF" w:rsidRPr="001227E6" w:rsidRDefault="00751AAF" w:rsidP="00F726D8">
            <w:pPr>
              <w:rPr>
                <w:lang w:val="es"/>
              </w:rPr>
            </w:pPr>
            <w:r w:rsidRPr="001227E6">
              <w:rPr>
                <w:lang w:val="es"/>
              </w:rPr>
              <w:t>Fax: [</w:t>
            </w:r>
            <w:r w:rsidRPr="001227E6">
              <w:rPr>
                <w:rFonts w:ascii="Wingdings" w:hAnsi="Wingdings"/>
                <w:lang w:val="es"/>
              </w:rPr>
              <w:sym w:font="Wingdings" w:char="F06C"/>
            </w:r>
            <w:r w:rsidRPr="001227E6">
              <w:rPr>
                <w:lang w:val="es"/>
              </w:rPr>
              <w:t>]</w:t>
            </w:r>
          </w:p>
          <w:p w14:paraId="587B7426" w14:textId="77777777" w:rsidR="00751AAF" w:rsidRPr="001227E6" w:rsidRDefault="00751AAF" w:rsidP="00F726D8">
            <w:pPr>
              <w:spacing w:beforeLines="120" w:before="288" w:after="120" w:line="260" w:lineRule="atLeast"/>
              <w:jc w:val="both"/>
              <w:rPr>
                <w:i/>
                <w:iCs/>
                <w:color w:val="FF0000"/>
                <w:lang w:val="es"/>
              </w:rPr>
            </w:pPr>
            <w:proofErr w:type="spellStart"/>
            <w:r w:rsidRPr="001227E6">
              <w:rPr>
                <w:lang w:val="es"/>
              </w:rPr>
              <w:t>Atn</w:t>
            </w:r>
            <w:proofErr w:type="spellEnd"/>
            <w:r w:rsidRPr="001227E6">
              <w:rPr>
                <w:lang w:val="es"/>
              </w:rPr>
              <w:t>. [</w:t>
            </w:r>
            <w:r w:rsidRPr="001227E6">
              <w:rPr>
                <w:rFonts w:ascii="Wingdings" w:hAnsi="Wingdings"/>
                <w:lang w:val="es"/>
              </w:rPr>
              <w:sym w:font="Wingdings" w:char="F06C"/>
            </w:r>
            <w:r w:rsidRPr="001227E6">
              <w:rPr>
                <w:lang w:val="es"/>
              </w:rPr>
              <w:t>]</w:t>
            </w:r>
          </w:p>
        </w:tc>
        <w:tc>
          <w:tcPr>
            <w:tcW w:w="4823" w:type="dxa"/>
            <w:tcMar>
              <w:top w:w="0" w:type="dxa"/>
              <w:left w:w="108" w:type="dxa"/>
              <w:bottom w:w="0" w:type="dxa"/>
              <w:right w:w="108" w:type="dxa"/>
            </w:tcMar>
            <w:hideMark/>
          </w:tcPr>
          <w:p w14:paraId="1323B232" w14:textId="77777777" w:rsidR="00751AAF" w:rsidRPr="00BC47B1" w:rsidRDefault="00751AAF" w:rsidP="00F726D8">
            <w:pPr>
              <w:rPr>
                <w:i/>
              </w:rPr>
            </w:pPr>
            <w:r w:rsidRPr="00BC47B1">
              <w:rPr>
                <w:i/>
              </w:rPr>
              <w:t>[Name of Depositary Bank]</w:t>
            </w:r>
          </w:p>
          <w:p w14:paraId="5B77DA37" w14:textId="77777777" w:rsidR="00751AAF" w:rsidRPr="00BC47B1" w:rsidRDefault="00751AAF" w:rsidP="00F726D8">
            <w:r w:rsidRPr="00BC47B1">
              <w:t>[</w:t>
            </w:r>
            <w:r w:rsidRPr="00BC47B1">
              <w:rPr>
                <w:i/>
              </w:rPr>
              <w:t>Address</w:t>
            </w:r>
            <w:r w:rsidRPr="00BC47B1">
              <w:t>]</w:t>
            </w:r>
          </w:p>
          <w:p w14:paraId="1FFB56B6" w14:textId="77777777" w:rsidR="00751AAF" w:rsidRPr="001227E6" w:rsidRDefault="00751AAF" w:rsidP="00F726D8">
            <w:pPr>
              <w:rPr>
                <w:lang w:val="es"/>
              </w:rPr>
            </w:pPr>
            <w:r w:rsidRPr="001227E6">
              <w:rPr>
                <w:lang w:val="es"/>
              </w:rPr>
              <w:t>Tfno.: [</w:t>
            </w:r>
            <w:r w:rsidRPr="001227E6">
              <w:rPr>
                <w:rFonts w:ascii="Wingdings" w:hAnsi="Wingdings"/>
                <w:lang w:val="es"/>
              </w:rPr>
              <w:sym w:font="Wingdings" w:char="F06C"/>
            </w:r>
            <w:r w:rsidRPr="001227E6">
              <w:rPr>
                <w:lang w:val="es"/>
              </w:rPr>
              <w:t>]</w:t>
            </w:r>
          </w:p>
          <w:p w14:paraId="083A38B8" w14:textId="77777777" w:rsidR="00751AAF" w:rsidRPr="001227E6" w:rsidRDefault="00751AAF" w:rsidP="00F726D8">
            <w:pPr>
              <w:rPr>
                <w:lang w:val="es"/>
              </w:rPr>
            </w:pPr>
            <w:r w:rsidRPr="001227E6">
              <w:rPr>
                <w:lang w:val="es"/>
              </w:rPr>
              <w:t>Fax: [</w:t>
            </w:r>
            <w:r w:rsidRPr="001227E6">
              <w:rPr>
                <w:rFonts w:ascii="Wingdings" w:hAnsi="Wingdings"/>
                <w:lang w:val="es"/>
              </w:rPr>
              <w:sym w:font="Wingdings" w:char="F06C"/>
            </w:r>
            <w:r w:rsidRPr="001227E6">
              <w:rPr>
                <w:lang w:val="es"/>
              </w:rPr>
              <w:t>]</w:t>
            </w:r>
          </w:p>
          <w:p w14:paraId="3C9EB1F4" w14:textId="77777777" w:rsidR="00751AAF" w:rsidRPr="001227E6" w:rsidRDefault="00751AAF" w:rsidP="00F726D8">
            <w:pPr>
              <w:spacing w:beforeLines="120" w:before="288" w:after="120" w:line="260" w:lineRule="atLeast"/>
              <w:jc w:val="both"/>
              <w:rPr>
                <w:i/>
                <w:iCs/>
                <w:color w:val="FF0000"/>
                <w:lang w:val="es"/>
              </w:rPr>
            </w:pPr>
            <w:r w:rsidRPr="001227E6">
              <w:rPr>
                <w:lang w:val="es"/>
              </w:rPr>
              <w:t>Att. [</w:t>
            </w:r>
            <w:r w:rsidRPr="001227E6">
              <w:rPr>
                <w:rFonts w:ascii="Wingdings" w:hAnsi="Wingdings"/>
                <w:lang w:val="es"/>
              </w:rPr>
              <w:sym w:font="Wingdings" w:char="F06C"/>
            </w:r>
            <w:r w:rsidRPr="001227E6">
              <w:rPr>
                <w:lang w:val="es"/>
              </w:rPr>
              <w:t>]</w:t>
            </w:r>
          </w:p>
        </w:tc>
      </w:tr>
      <w:tr w:rsidR="00751AAF" w:rsidRPr="001227E6" w14:paraId="5B62F852" w14:textId="77777777" w:rsidTr="00F726D8">
        <w:tc>
          <w:tcPr>
            <w:tcW w:w="4924" w:type="dxa"/>
            <w:gridSpan w:val="2"/>
            <w:tcMar>
              <w:top w:w="0" w:type="dxa"/>
              <w:left w:w="108" w:type="dxa"/>
              <w:bottom w:w="0" w:type="dxa"/>
              <w:right w:w="108" w:type="dxa"/>
            </w:tcMar>
            <w:hideMark/>
          </w:tcPr>
          <w:p w14:paraId="1E7FC49D" w14:textId="77777777" w:rsidR="00751AAF" w:rsidRPr="001227E6" w:rsidRDefault="00751AAF" w:rsidP="00F726D8">
            <w:pPr>
              <w:spacing w:before="120" w:after="120" w:line="260" w:lineRule="atLeast"/>
              <w:jc w:val="right"/>
              <w:rPr>
                <w:i/>
                <w:iCs/>
                <w:color w:val="FF0000"/>
                <w:lang w:val="es"/>
              </w:rPr>
            </w:pPr>
            <w:r w:rsidRPr="001227E6">
              <w:rPr>
                <w:bCs/>
                <w:lang w:val="es"/>
              </w:rPr>
              <w:t>[</w:t>
            </w:r>
            <w:r w:rsidRPr="001227E6">
              <w:rPr>
                <w:rFonts w:ascii="Wingdings" w:hAnsi="Wingdings"/>
                <w:bCs/>
                <w:lang w:val="es"/>
              </w:rPr>
              <w:sym w:font="Wingdings" w:char="F06C"/>
            </w:r>
            <w:r w:rsidRPr="001227E6">
              <w:rPr>
                <w:bCs/>
                <w:lang w:val="es"/>
              </w:rPr>
              <w:t>] de [</w:t>
            </w:r>
            <w:r w:rsidRPr="001227E6">
              <w:rPr>
                <w:rFonts w:ascii="Wingdings" w:hAnsi="Wingdings"/>
                <w:bCs/>
                <w:lang w:val="es"/>
              </w:rPr>
              <w:sym w:font="Wingdings" w:char="F06C"/>
            </w:r>
            <w:r w:rsidRPr="001227E6">
              <w:rPr>
                <w:bCs/>
                <w:lang w:val="es"/>
              </w:rPr>
              <w:t>] de [</w:t>
            </w:r>
            <w:r w:rsidRPr="001227E6">
              <w:rPr>
                <w:rFonts w:ascii="Wingdings" w:hAnsi="Wingdings"/>
                <w:bCs/>
                <w:lang w:val="es"/>
              </w:rPr>
              <w:sym w:font="Wingdings" w:char="F06C"/>
            </w:r>
            <w:r w:rsidRPr="001227E6">
              <w:rPr>
                <w:bCs/>
                <w:lang w:val="es"/>
              </w:rPr>
              <w:t>]</w:t>
            </w:r>
          </w:p>
        </w:tc>
        <w:tc>
          <w:tcPr>
            <w:tcW w:w="4823" w:type="dxa"/>
            <w:tcMar>
              <w:top w:w="0" w:type="dxa"/>
              <w:left w:w="108" w:type="dxa"/>
              <w:bottom w:w="0" w:type="dxa"/>
              <w:right w:w="108" w:type="dxa"/>
            </w:tcMar>
            <w:hideMark/>
          </w:tcPr>
          <w:p w14:paraId="26A67854" w14:textId="77777777" w:rsidR="00751AAF" w:rsidRPr="001227E6" w:rsidRDefault="00751AAF" w:rsidP="00F726D8">
            <w:pPr>
              <w:spacing w:before="120" w:after="120" w:line="260" w:lineRule="atLeast"/>
              <w:jc w:val="right"/>
              <w:rPr>
                <w:i/>
                <w:iCs/>
                <w:color w:val="FF0000"/>
                <w:lang w:val="es"/>
              </w:rPr>
            </w:pPr>
            <w:r w:rsidRPr="001227E6">
              <w:rPr>
                <w:bCs/>
                <w:lang w:val="es"/>
              </w:rPr>
              <w:t>[</w:t>
            </w:r>
            <w:r w:rsidRPr="001227E6">
              <w:rPr>
                <w:rFonts w:ascii="Wingdings" w:hAnsi="Wingdings"/>
                <w:bCs/>
                <w:lang w:val="es"/>
              </w:rPr>
              <w:sym w:font="Wingdings" w:char="F06C"/>
            </w:r>
            <w:r w:rsidRPr="001227E6">
              <w:rPr>
                <w:bCs/>
                <w:lang w:val="es"/>
              </w:rPr>
              <w:t>] [</w:t>
            </w:r>
            <w:r w:rsidRPr="001227E6">
              <w:rPr>
                <w:rFonts w:ascii="Wingdings" w:hAnsi="Wingdings"/>
                <w:bCs/>
                <w:lang w:val="es"/>
              </w:rPr>
              <w:sym w:font="Wingdings" w:char="F06C"/>
            </w:r>
            <w:r w:rsidRPr="001227E6">
              <w:rPr>
                <w:bCs/>
                <w:lang w:val="es"/>
              </w:rPr>
              <w:t>] [</w:t>
            </w:r>
            <w:r w:rsidRPr="001227E6">
              <w:rPr>
                <w:rFonts w:ascii="Wingdings" w:hAnsi="Wingdings"/>
                <w:bCs/>
                <w:lang w:val="es"/>
              </w:rPr>
              <w:sym w:font="Wingdings" w:char="F06C"/>
            </w:r>
            <w:r w:rsidRPr="001227E6">
              <w:rPr>
                <w:bCs/>
                <w:lang w:val="es"/>
              </w:rPr>
              <w:t>]</w:t>
            </w:r>
          </w:p>
        </w:tc>
      </w:tr>
      <w:tr w:rsidR="00417FAE" w:rsidRPr="00BC47B1" w14:paraId="62D9720F" w14:textId="77777777" w:rsidTr="00F726D8">
        <w:tc>
          <w:tcPr>
            <w:tcW w:w="4924" w:type="dxa"/>
            <w:gridSpan w:val="2"/>
            <w:tcMar>
              <w:top w:w="0" w:type="dxa"/>
              <w:left w:w="108" w:type="dxa"/>
              <w:bottom w:w="0" w:type="dxa"/>
              <w:right w:w="108" w:type="dxa"/>
            </w:tcMar>
            <w:hideMark/>
          </w:tcPr>
          <w:p w14:paraId="7EDD3867" w14:textId="0539C5F7" w:rsidR="00417FAE" w:rsidRPr="001227E6" w:rsidRDefault="00417FAE" w:rsidP="00417FAE">
            <w:pPr>
              <w:spacing w:beforeLines="120" w:before="288" w:after="120" w:line="260" w:lineRule="atLeast"/>
              <w:jc w:val="both"/>
              <w:rPr>
                <w:b/>
                <w:bCs/>
                <w:lang w:val="es"/>
              </w:rPr>
            </w:pPr>
            <w:r w:rsidRPr="001227E6">
              <w:rPr>
                <w:b/>
                <w:bCs/>
                <w:lang w:val="es"/>
              </w:rPr>
              <w:t>Notificación de</w:t>
            </w:r>
            <w:r>
              <w:rPr>
                <w:b/>
                <w:bCs/>
                <w:lang w:val="es"/>
              </w:rPr>
              <w:t xml:space="preserve"> novación,</w:t>
            </w:r>
            <w:r w:rsidRPr="001227E6">
              <w:rPr>
                <w:b/>
                <w:bCs/>
                <w:lang w:val="es"/>
              </w:rPr>
              <w:t xml:space="preserve"> </w:t>
            </w:r>
            <w:r>
              <w:rPr>
                <w:b/>
                <w:bCs/>
                <w:lang w:val="es"/>
              </w:rPr>
              <w:t>extensión y ratificación</w:t>
            </w:r>
            <w:r w:rsidRPr="001227E6">
              <w:rPr>
                <w:b/>
                <w:bCs/>
                <w:lang w:val="es"/>
              </w:rPr>
              <w:t xml:space="preserve"> de prenda</w:t>
            </w:r>
            <w:r>
              <w:rPr>
                <w:b/>
                <w:bCs/>
                <w:lang w:val="es"/>
              </w:rPr>
              <w:t>s</w:t>
            </w:r>
          </w:p>
        </w:tc>
        <w:tc>
          <w:tcPr>
            <w:tcW w:w="4823" w:type="dxa"/>
            <w:tcMar>
              <w:top w:w="0" w:type="dxa"/>
              <w:left w:w="108" w:type="dxa"/>
              <w:bottom w:w="0" w:type="dxa"/>
              <w:right w:w="108" w:type="dxa"/>
            </w:tcMar>
            <w:hideMark/>
          </w:tcPr>
          <w:p w14:paraId="07C9C6BA" w14:textId="16A56740" w:rsidR="00417FAE" w:rsidRPr="00BC47B1" w:rsidRDefault="00417FAE" w:rsidP="00417FAE">
            <w:pPr>
              <w:spacing w:beforeLines="120" w:before="288" w:after="120" w:line="260" w:lineRule="atLeast"/>
              <w:jc w:val="both"/>
              <w:rPr>
                <w:b/>
                <w:bCs/>
              </w:rPr>
            </w:pPr>
            <w:r w:rsidRPr="00BC47B1">
              <w:rPr>
                <w:b/>
                <w:bCs/>
              </w:rPr>
              <w:t xml:space="preserve">Notice of </w:t>
            </w:r>
            <w:r>
              <w:rPr>
                <w:b/>
                <w:bCs/>
              </w:rPr>
              <w:t>amendment, extension and ratification</w:t>
            </w:r>
            <w:r w:rsidRPr="00BC47B1">
              <w:rPr>
                <w:b/>
                <w:bCs/>
              </w:rPr>
              <w:t xml:space="preserve"> of pledge</w:t>
            </w:r>
            <w:r>
              <w:rPr>
                <w:b/>
                <w:bCs/>
              </w:rPr>
              <w:t>s</w:t>
            </w:r>
          </w:p>
        </w:tc>
      </w:tr>
      <w:tr w:rsidR="00751AAF" w:rsidRPr="001227E6" w14:paraId="0A837849" w14:textId="77777777" w:rsidTr="00F726D8">
        <w:tc>
          <w:tcPr>
            <w:tcW w:w="4924" w:type="dxa"/>
            <w:gridSpan w:val="2"/>
            <w:tcMar>
              <w:top w:w="0" w:type="dxa"/>
              <w:left w:w="108" w:type="dxa"/>
              <w:bottom w:w="0" w:type="dxa"/>
              <w:right w:w="108" w:type="dxa"/>
            </w:tcMar>
            <w:hideMark/>
          </w:tcPr>
          <w:p w14:paraId="4AF994E5" w14:textId="77777777" w:rsidR="00751AAF" w:rsidRPr="001227E6" w:rsidRDefault="00751AAF" w:rsidP="00F726D8">
            <w:pPr>
              <w:spacing w:beforeLines="120" w:before="288" w:after="120" w:line="260" w:lineRule="atLeast"/>
              <w:jc w:val="both"/>
              <w:rPr>
                <w:iCs/>
                <w:lang w:val="es"/>
              </w:rPr>
            </w:pPr>
            <w:r w:rsidRPr="001227E6">
              <w:rPr>
                <w:iCs/>
                <w:lang w:val="es"/>
              </w:rPr>
              <w:t>Muy Sres. nuestros:</w:t>
            </w:r>
          </w:p>
        </w:tc>
        <w:tc>
          <w:tcPr>
            <w:tcW w:w="4823" w:type="dxa"/>
            <w:tcMar>
              <w:top w:w="0" w:type="dxa"/>
              <w:left w:w="108" w:type="dxa"/>
              <w:bottom w:w="0" w:type="dxa"/>
              <w:right w:w="108" w:type="dxa"/>
            </w:tcMar>
            <w:hideMark/>
          </w:tcPr>
          <w:p w14:paraId="63D20129" w14:textId="77777777" w:rsidR="00751AAF" w:rsidRPr="001227E6" w:rsidRDefault="00751AAF" w:rsidP="00F726D8">
            <w:pPr>
              <w:spacing w:beforeLines="120" w:before="288" w:after="120" w:line="260" w:lineRule="atLeast"/>
              <w:jc w:val="both"/>
              <w:rPr>
                <w:iCs/>
                <w:lang w:val="es"/>
              </w:rPr>
            </w:pPr>
            <w:proofErr w:type="spellStart"/>
            <w:r w:rsidRPr="001227E6">
              <w:rPr>
                <w:iCs/>
                <w:lang w:val="es"/>
              </w:rPr>
              <w:t>Dear</w:t>
            </w:r>
            <w:proofErr w:type="spellEnd"/>
            <w:r w:rsidRPr="001227E6">
              <w:rPr>
                <w:iCs/>
                <w:lang w:val="es"/>
              </w:rPr>
              <w:t xml:space="preserve"> </w:t>
            </w:r>
            <w:proofErr w:type="spellStart"/>
            <w:r w:rsidRPr="001227E6">
              <w:rPr>
                <w:iCs/>
                <w:lang w:val="es"/>
              </w:rPr>
              <w:t>Sirs</w:t>
            </w:r>
            <w:proofErr w:type="spellEnd"/>
            <w:r w:rsidRPr="001227E6">
              <w:rPr>
                <w:iCs/>
                <w:lang w:val="es"/>
              </w:rPr>
              <w:t>,</w:t>
            </w:r>
          </w:p>
        </w:tc>
      </w:tr>
      <w:tr w:rsidR="00417FAE" w:rsidRPr="00BC47B1" w14:paraId="7EF043AC" w14:textId="77777777" w:rsidTr="00F726D8">
        <w:tc>
          <w:tcPr>
            <w:tcW w:w="4924" w:type="dxa"/>
            <w:gridSpan w:val="2"/>
            <w:tcMar>
              <w:top w:w="0" w:type="dxa"/>
              <w:left w:w="108" w:type="dxa"/>
              <w:bottom w:w="0" w:type="dxa"/>
              <w:right w:w="108" w:type="dxa"/>
            </w:tcMar>
            <w:hideMark/>
          </w:tcPr>
          <w:p w14:paraId="70AA3BB1" w14:textId="6CE4E8C8" w:rsidR="00417FAE" w:rsidRPr="009F1F0E" w:rsidRDefault="00417FAE" w:rsidP="00417FAE">
            <w:pPr>
              <w:pStyle w:val="AOA"/>
              <w:numPr>
                <w:ilvl w:val="0"/>
                <w:numId w:val="43"/>
              </w:numPr>
              <w:rPr>
                <w:lang w:val="es"/>
              </w:rPr>
            </w:pPr>
            <w:r w:rsidRPr="009F1F0E">
              <w:rPr>
                <w:lang w:val="es"/>
              </w:rPr>
              <w:t xml:space="preserve">Por la presente les notificamos que, en virtud de una póliza de </w:t>
            </w:r>
            <w:r>
              <w:rPr>
                <w:lang w:val="es"/>
              </w:rPr>
              <w:t xml:space="preserve">novación, extensión y ratificación de </w:t>
            </w:r>
            <w:r w:rsidRPr="009F1F0E">
              <w:rPr>
                <w:lang w:val="es"/>
              </w:rPr>
              <w:t>prendas intervenida en esta misma fecha ante el Notario de [</w:t>
            </w:r>
            <w:r>
              <w:rPr>
                <w:rFonts w:ascii="Wingdings" w:hAnsi="Wingdings"/>
                <w:lang w:val="es"/>
              </w:rPr>
              <w:sym w:font="Wingdings" w:char="F06C"/>
            </w:r>
            <w:r w:rsidRPr="009F1F0E">
              <w:rPr>
                <w:lang w:val="es"/>
              </w:rPr>
              <w:t>]</w:t>
            </w:r>
            <w:r w:rsidRPr="009F1F0E">
              <w:rPr>
                <w:rFonts w:eastAsia="Times New Roman"/>
                <w:iCs/>
                <w:color w:val="000000"/>
                <w:lang w:val="es"/>
              </w:rPr>
              <w:t xml:space="preserve"> [</w:t>
            </w:r>
            <w:r w:rsidRPr="001227E6">
              <w:rPr>
                <w:rFonts w:ascii="Wingdings" w:eastAsia="Times New Roman" w:hAnsi="Wingdings"/>
                <w:iCs/>
                <w:color w:val="000000"/>
                <w:lang w:val="es"/>
              </w:rPr>
              <w:sym w:font="Wingdings" w:char="F06C"/>
            </w:r>
            <w:r w:rsidRPr="009F1F0E">
              <w:rPr>
                <w:rFonts w:eastAsia="Times New Roman"/>
                <w:iCs/>
                <w:color w:val="000000"/>
                <w:lang w:val="es"/>
              </w:rPr>
              <w:t>]</w:t>
            </w:r>
            <w:r w:rsidRPr="009F1F0E">
              <w:rPr>
                <w:lang w:val="es"/>
              </w:rPr>
              <w:t>, [</w:t>
            </w:r>
            <w:r w:rsidRPr="001227E6">
              <w:rPr>
                <w:rFonts w:ascii="Wingdings" w:hAnsi="Wingdings"/>
                <w:lang w:val="es"/>
              </w:rPr>
              <w:sym w:font="Wingdings" w:char="F06C"/>
            </w:r>
            <w:r w:rsidRPr="009F1F0E">
              <w:rPr>
                <w:lang w:val="es"/>
              </w:rPr>
              <w:t xml:space="preserve">] (el </w:t>
            </w:r>
            <w:proofErr w:type="spellStart"/>
            <w:r w:rsidRPr="009F1F0E">
              <w:rPr>
                <w:b/>
                <w:lang w:val="es"/>
              </w:rPr>
              <w:t>Pignorante</w:t>
            </w:r>
            <w:proofErr w:type="spellEnd"/>
            <w:r w:rsidRPr="009F1F0E">
              <w:rPr>
                <w:lang w:val="es"/>
              </w:rPr>
              <w:t xml:space="preserve">) ha </w:t>
            </w:r>
            <w:r>
              <w:rPr>
                <w:lang w:val="es"/>
              </w:rPr>
              <w:t>extendido y ratificado un derecho real de prenda constituido en virtud de póliza de prenda de fecha [</w:t>
            </w:r>
            <w:r>
              <w:rPr>
                <w:lang w:val="es"/>
              </w:rPr>
              <w:sym w:font="Wingdings" w:char="F06C"/>
            </w:r>
            <w:r>
              <w:rPr>
                <w:lang w:val="es"/>
              </w:rPr>
              <w:t>] de [</w:t>
            </w:r>
            <w:r>
              <w:rPr>
                <w:lang w:val="es"/>
              </w:rPr>
              <w:sym w:font="Wingdings" w:char="F06C"/>
            </w:r>
            <w:r>
              <w:rPr>
                <w:lang w:val="es"/>
              </w:rPr>
              <w:t>] de [</w:t>
            </w:r>
            <w:r>
              <w:rPr>
                <w:lang w:val="es"/>
              </w:rPr>
              <w:sym w:font="Wingdings" w:char="F06C"/>
            </w:r>
            <w:r>
              <w:rPr>
                <w:lang w:val="es"/>
              </w:rPr>
              <w:t>] intervenida ante el Notario de [</w:t>
            </w:r>
            <w:r>
              <w:rPr>
                <w:lang w:val="es"/>
              </w:rPr>
              <w:sym w:font="Wingdings" w:char="F06C"/>
            </w:r>
            <w:r>
              <w:rPr>
                <w:lang w:val="es"/>
              </w:rPr>
              <w:t>], Dña. [</w:t>
            </w:r>
            <w:r>
              <w:rPr>
                <w:lang w:val="es"/>
              </w:rPr>
              <w:sym w:font="Wingdings" w:char="F06C"/>
            </w:r>
            <w:r>
              <w:rPr>
                <w:lang w:val="es"/>
              </w:rPr>
              <w:t>], con el número [</w:t>
            </w:r>
            <w:r>
              <w:rPr>
                <w:lang w:val="es"/>
              </w:rPr>
              <w:sym w:font="Wingdings" w:char="F06C"/>
            </w:r>
            <w:r>
              <w:rPr>
                <w:lang w:val="es"/>
              </w:rPr>
              <w:t>] de su libro registro de pólizas (la</w:t>
            </w:r>
            <w:r w:rsidRPr="009F1F0E">
              <w:rPr>
                <w:lang w:val="es"/>
              </w:rPr>
              <w:t xml:space="preserve"> </w:t>
            </w:r>
            <w:r>
              <w:rPr>
                <w:b/>
                <w:lang w:val="es"/>
              </w:rPr>
              <w:t>Prenda</w:t>
            </w:r>
            <w:r w:rsidRPr="009F1F0E">
              <w:rPr>
                <w:lang w:val="es"/>
              </w:rPr>
              <w:t xml:space="preserve">) sobre los derechos de crédito (los </w:t>
            </w:r>
            <w:r w:rsidRPr="009F1F0E">
              <w:rPr>
                <w:b/>
                <w:lang w:val="es"/>
              </w:rPr>
              <w:t>Derechos de Crédito</w:t>
            </w:r>
            <w:r w:rsidRPr="009F1F0E">
              <w:rPr>
                <w:lang w:val="es"/>
              </w:rPr>
              <w:t>) que le corresponden frente a Uds., en su condición de banco depositario, en relación con las cantidades depositadas en cada</w:t>
            </w:r>
            <w:r>
              <w:rPr>
                <w:lang w:val="es"/>
              </w:rPr>
              <w:t xml:space="preserve"> momento en la cuenta corriente</w:t>
            </w:r>
            <w:r w:rsidRPr="009F1F0E">
              <w:rPr>
                <w:lang w:val="es"/>
              </w:rPr>
              <w:t xml:space="preserve"> </w:t>
            </w:r>
            <w:r>
              <w:rPr>
                <w:lang w:val="es"/>
              </w:rPr>
              <w:t>que se identifica en el Anexo 1 de la presente notificación (la</w:t>
            </w:r>
            <w:r w:rsidRPr="009F1F0E">
              <w:rPr>
                <w:lang w:val="es"/>
              </w:rPr>
              <w:t xml:space="preserve"> </w:t>
            </w:r>
            <w:r>
              <w:rPr>
                <w:b/>
                <w:lang w:val="es"/>
              </w:rPr>
              <w:t>Cuenta Corriente</w:t>
            </w:r>
            <w:r w:rsidRPr="009F1F0E">
              <w:rPr>
                <w:lang w:val="es"/>
              </w:rPr>
              <w:t>), a favor de [</w:t>
            </w:r>
            <w:r>
              <w:rPr>
                <w:rFonts w:ascii="Wingdings" w:hAnsi="Wingdings"/>
                <w:lang w:val="es"/>
              </w:rPr>
              <w:sym w:font="Wingdings" w:char="F06C"/>
            </w:r>
            <w:r w:rsidRPr="009F1F0E">
              <w:rPr>
                <w:lang w:val="es"/>
              </w:rPr>
              <w:t>], actuando [</w:t>
            </w:r>
            <w:r>
              <w:rPr>
                <w:rFonts w:ascii="Wingdings" w:hAnsi="Wingdings"/>
                <w:lang w:val="es"/>
              </w:rPr>
              <w:sym w:font="Wingdings" w:char="F06C"/>
            </w:r>
            <w:r w:rsidRPr="009F1F0E">
              <w:rPr>
                <w:lang w:val="es"/>
              </w:rPr>
              <w:t xml:space="preserve">] como agente de garantías (el </w:t>
            </w:r>
            <w:r w:rsidRPr="009F1F0E">
              <w:rPr>
                <w:b/>
                <w:lang w:val="es"/>
              </w:rPr>
              <w:t>Agente de Garantías</w:t>
            </w:r>
            <w:r w:rsidRPr="009F1F0E">
              <w:rPr>
                <w:lang w:val="es"/>
              </w:rPr>
              <w:t>), en garantía de, [</w:t>
            </w:r>
            <w:r>
              <w:rPr>
                <w:rFonts w:ascii="Wingdings" w:hAnsi="Wingdings"/>
                <w:lang w:val="es"/>
              </w:rPr>
              <w:sym w:font="Wingdings" w:char="F06C"/>
            </w:r>
            <w:r w:rsidRPr="009F1F0E">
              <w:rPr>
                <w:lang w:val="es"/>
              </w:rPr>
              <w:t>]</w:t>
            </w:r>
            <w:r>
              <w:rPr>
                <w:lang w:val="es"/>
              </w:rPr>
              <w:t xml:space="preserve"> (la </w:t>
            </w:r>
            <w:r w:rsidRPr="00751AAF">
              <w:rPr>
                <w:b/>
                <w:lang w:val="es"/>
              </w:rPr>
              <w:t xml:space="preserve">Póliza de </w:t>
            </w:r>
            <w:r>
              <w:rPr>
                <w:b/>
                <w:lang w:val="es"/>
              </w:rPr>
              <w:t xml:space="preserve">Novación, </w:t>
            </w:r>
            <w:r w:rsidRPr="00751AAF">
              <w:rPr>
                <w:b/>
                <w:lang w:val="es"/>
              </w:rPr>
              <w:t>Extensión y Ratificación</w:t>
            </w:r>
            <w:r>
              <w:rPr>
                <w:lang w:val="es"/>
              </w:rPr>
              <w:t>)</w:t>
            </w:r>
            <w:r w:rsidRPr="009F1F0E">
              <w:rPr>
                <w:lang w:val="es"/>
              </w:rPr>
              <w:t>.</w:t>
            </w:r>
          </w:p>
        </w:tc>
        <w:tc>
          <w:tcPr>
            <w:tcW w:w="4823" w:type="dxa"/>
            <w:tcMar>
              <w:top w:w="0" w:type="dxa"/>
              <w:left w:w="108" w:type="dxa"/>
              <w:bottom w:w="0" w:type="dxa"/>
              <w:right w:w="108" w:type="dxa"/>
            </w:tcMar>
            <w:hideMark/>
          </w:tcPr>
          <w:p w14:paraId="4DC0F7D3" w14:textId="6CDC204C" w:rsidR="00417FAE" w:rsidRPr="00BC47B1" w:rsidRDefault="00417FAE" w:rsidP="00417FAE">
            <w:pPr>
              <w:pStyle w:val="AOA"/>
              <w:numPr>
                <w:ilvl w:val="0"/>
                <w:numId w:val="44"/>
              </w:numPr>
            </w:pPr>
            <w:r w:rsidRPr="00751AAF">
              <w:t xml:space="preserve">We hereby notify you that, pursuant to a deed of </w:t>
            </w:r>
            <w:r>
              <w:t xml:space="preserve">amendment, </w:t>
            </w:r>
            <w:r w:rsidRPr="00751AAF">
              <w:t>extension and ratification of pledge</w:t>
            </w:r>
            <w:r>
              <w:t>s</w:t>
            </w:r>
            <w:r w:rsidRPr="00751AAF">
              <w:t xml:space="preserve"> attested on the date hereof before the Notary of [</w:t>
            </w:r>
            <w:r>
              <w:rPr>
                <w:rFonts w:ascii="Wingdings" w:hAnsi="Wingdings"/>
                <w:lang w:val="es-ES"/>
              </w:rPr>
              <w:sym w:font="Wingdings" w:char="F06C"/>
            </w:r>
            <w:r w:rsidRPr="00751AAF">
              <w:t>], Mr. [</w:t>
            </w:r>
            <w:r w:rsidRPr="001227E6">
              <w:rPr>
                <w:rFonts w:ascii="Wingdings" w:hAnsi="Wingdings"/>
                <w:lang w:val="es"/>
              </w:rPr>
              <w:sym w:font="Wingdings" w:char="F06C"/>
            </w:r>
            <w:r w:rsidRPr="00751AAF">
              <w:t>], [</w:t>
            </w:r>
            <w:r w:rsidRPr="001227E6">
              <w:rPr>
                <w:rFonts w:ascii="Wingdings" w:hAnsi="Wingdings"/>
                <w:lang w:val="es"/>
              </w:rPr>
              <w:sym w:font="Wingdings" w:char="F06C"/>
            </w:r>
            <w:r w:rsidRPr="00751AAF">
              <w:t xml:space="preserve">] (the </w:t>
            </w:r>
            <w:r w:rsidRPr="002F2967">
              <w:rPr>
                <w:b/>
              </w:rPr>
              <w:t>Pledgor</w:t>
            </w:r>
            <w:r w:rsidRPr="00BC47B1">
              <w:t xml:space="preserve">) has </w:t>
            </w:r>
            <w:r>
              <w:t>extended and ratified</w:t>
            </w:r>
            <w:r w:rsidRPr="00BC47B1">
              <w:t xml:space="preserve"> an in rem right of pledge</w:t>
            </w:r>
            <w:r>
              <w:t xml:space="preserve"> granted by virtue of a deed of pledge dated </w:t>
            </w:r>
            <w:r w:rsidRPr="00751AAF">
              <w:t>[</w:t>
            </w:r>
            <w:r>
              <w:rPr>
                <w:lang w:val="es"/>
              </w:rPr>
              <w:sym w:font="Wingdings" w:char="F06C"/>
            </w:r>
            <w:r w:rsidRPr="00751AAF">
              <w:t>][</w:t>
            </w:r>
            <w:r>
              <w:rPr>
                <w:lang w:val="es"/>
              </w:rPr>
              <w:sym w:font="Wingdings" w:char="F06C"/>
            </w:r>
            <w:r w:rsidRPr="00751AAF">
              <w:t>][</w:t>
            </w:r>
            <w:r>
              <w:rPr>
                <w:lang w:val="es"/>
              </w:rPr>
              <w:sym w:font="Wingdings" w:char="F06C"/>
            </w:r>
            <w:r w:rsidRPr="00751AAF">
              <w:t>]</w:t>
            </w:r>
            <w:r>
              <w:t>, intervened by the Notary of [</w:t>
            </w:r>
            <w:r>
              <w:sym w:font="Wingdings" w:char="F06C"/>
            </w:r>
            <w:r>
              <w:t xml:space="preserve">], Ms. </w:t>
            </w:r>
            <w:r w:rsidRPr="00751AAF">
              <w:t>[</w:t>
            </w:r>
            <w:r>
              <w:rPr>
                <w:lang w:val="es"/>
              </w:rPr>
              <w:sym w:font="Wingdings" w:char="F06C"/>
            </w:r>
            <w:r w:rsidRPr="00751AAF">
              <w:t>]</w:t>
            </w:r>
            <w:r>
              <w:t xml:space="preserve">, with number </w:t>
            </w:r>
            <w:r w:rsidRPr="00751AAF">
              <w:t>[</w:t>
            </w:r>
            <w:r>
              <w:rPr>
                <w:lang w:val="es"/>
              </w:rPr>
              <w:sym w:font="Wingdings" w:char="F06C"/>
            </w:r>
            <w:r w:rsidRPr="00751AAF">
              <w:t>]</w:t>
            </w:r>
            <w:r>
              <w:t xml:space="preserve"> of his registry book of transactions</w:t>
            </w:r>
            <w:r w:rsidRPr="00BC47B1">
              <w:t xml:space="preserve"> (the </w:t>
            </w:r>
            <w:r w:rsidRPr="002F2967">
              <w:rPr>
                <w:b/>
              </w:rPr>
              <w:t>Pledge</w:t>
            </w:r>
            <w:r w:rsidRPr="00BC47B1">
              <w:t xml:space="preserve">) over the credit rights (the </w:t>
            </w:r>
            <w:r w:rsidRPr="002F2967">
              <w:rPr>
                <w:b/>
              </w:rPr>
              <w:t>Credit Rights</w:t>
            </w:r>
            <w:r w:rsidRPr="00BC47B1">
              <w:t xml:space="preserve">) </w:t>
            </w:r>
            <w:r w:rsidRPr="002F2967">
              <w:rPr>
                <w:i/>
              </w:rPr>
              <w:t xml:space="preserve">vis a vis </w:t>
            </w:r>
            <w:r w:rsidRPr="00BC47B1">
              <w:t xml:space="preserve">you, as depositary bank, in relation to the amounts deposited from time to time in bank account </w:t>
            </w:r>
            <w:r>
              <w:t>identified in Annex 1 of this notice</w:t>
            </w:r>
            <w:r w:rsidRPr="00BC47B1">
              <w:t xml:space="preserve"> (the </w:t>
            </w:r>
            <w:r w:rsidRPr="002F2967">
              <w:rPr>
                <w:b/>
              </w:rPr>
              <w:t>Bank Account</w:t>
            </w:r>
            <w:r w:rsidRPr="00BC47B1">
              <w:t xml:space="preserve">), in favour of </w:t>
            </w:r>
            <w:r w:rsidRPr="002F2967">
              <w:rPr>
                <w:caps/>
              </w:rPr>
              <w:t>[</w:t>
            </w:r>
            <w:r>
              <w:rPr>
                <w:rFonts w:ascii="Wingdings" w:hAnsi="Wingdings"/>
                <w:caps/>
                <w:lang w:val="es"/>
              </w:rPr>
              <w:sym w:font="Wingdings" w:char="F06C"/>
            </w:r>
            <w:r w:rsidRPr="002F2967">
              <w:rPr>
                <w:caps/>
              </w:rPr>
              <w:t>]</w:t>
            </w:r>
            <w:r w:rsidRPr="00BC47B1">
              <w:t xml:space="preserve"> acting </w:t>
            </w:r>
            <w:r w:rsidRPr="002F2967">
              <w:rPr>
                <w:caps/>
              </w:rPr>
              <w:t>[</w:t>
            </w:r>
            <w:r>
              <w:rPr>
                <w:rFonts w:ascii="Wingdings" w:hAnsi="Wingdings"/>
                <w:caps/>
                <w:lang w:val="es"/>
              </w:rPr>
              <w:sym w:font="Wingdings" w:char="F06C"/>
            </w:r>
            <w:r w:rsidRPr="002F2967">
              <w:rPr>
                <w:caps/>
              </w:rPr>
              <w:t>]</w:t>
            </w:r>
            <w:r w:rsidRPr="00BC47B1">
              <w:t xml:space="preserve"> as </w:t>
            </w:r>
            <w:r>
              <w:t>Security Trustee</w:t>
            </w:r>
            <w:r w:rsidRPr="00BC47B1">
              <w:t xml:space="preserve"> (the </w:t>
            </w:r>
            <w:r>
              <w:rPr>
                <w:b/>
              </w:rPr>
              <w:t>Security Trustee</w:t>
            </w:r>
            <w:r w:rsidRPr="00BC47B1">
              <w:t>), to secure</w:t>
            </w:r>
            <w:r>
              <w:t xml:space="preserve">, </w:t>
            </w:r>
            <w:r w:rsidRPr="00E722E4">
              <w:t>[</w:t>
            </w:r>
            <w:r>
              <w:rPr>
                <w:rFonts w:ascii="Wingdings" w:hAnsi="Wingdings"/>
                <w:lang w:val="es"/>
              </w:rPr>
              <w:sym w:font="Wingdings" w:char="F06C"/>
            </w:r>
            <w:r w:rsidRPr="00E722E4">
              <w:t>]</w:t>
            </w:r>
            <w:r>
              <w:t xml:space="preserve"> (the </w:t>
            </w:r>
            <w:r w:rsidRPr="00751AAF">
              <w:rPr>
                <w:b/>
              </w:rPr>
              <w:t xml:space="preserve">Deed </w:t>
            </w:r>
            <w:r>
              <w:rPr>
                <w:b/>
              </w:rPr>
              <w:t xml:space="preserve">of Amendment, </w:t>
            </w:r>
            <w:r w:rsidRPr="00751AAF">
              <w:rPr>
                <w:b/>
              </w:rPr>
              <w:t>Extension and Ratification</w:t>
            </w:r>
            <w:r>
              <w:t>)</w:t>
            </w:r>
            <w:r w:rsidRPr="00BC47B1">
              <w:t>.</w:t>
            </w:r>
          </w:p>
        </w:tc>
      </w:tr>
      <w:tr w:rsidR="00D81FCE" w:rsidRPr="00D81FCE" w14:paraId="1A5C189A" w14:textId="77777777" w:rsidTr="00F726D8">
        <w:tc>
          <w:tcPr>
            <w:tcW w:w="4924" w:type="dxa"/>
            <w:gridSpan w:val="2"/>
            <w:tcMar>
              <w:top w:w="0" w:type="dxa"/>
              <w:left w:w="108" w:type="dxa"/>
              <w:bottom w:w="0" w:type="dxa"/>
              <w:right w:w="108" w:type="dxa"/>
            </w:tcMar>
          </w:tcPr>
          <w:p w14:paraId="62611E82" w14:textId="75962789" w:rsidR="00D81FCE" w:rsidRPr="001564A3" w:rsidRDefault="00D81FCE" w:rsidP="00D36435">
            <w:pPr>
              <w:pStyle w:val="AOA"/>
              <w:numPr>
                <w:ilvl w:val="0"/>
                <w:numId w:val="43"/>
              </w:numPr>
              <w:rPr>
                <w:lang w:val="es"/>
              </w:rPr>
            </w:pPr>
            <w:r w:rsidRPr="001564A3">
              <w:rPr>
                <w:lang w:val="es"/>
              </w:rPr>
              <w:t>La referida</w:t>
            </w:r>
            <w:r w:rsidR="00BB2166">
              <w:rPr>
                <w:lang w:val="es"/>
              </w:rPr>
              <w:t xml:space="preserve"> </w:t>
            </w:r>
            <w:r w:rsidR="00417FAE">
              <w:rPr>
                <w:lang w:val="es"/>
              </w:rPr>
              <w:t xml:space="preserve">novación, </w:t>
            </w:r>
            <w:r w:rsidR="00417FAE" w:rsidRPr="001564A3">
              <w:rPr>
                <w:lang w:val="es"/>
              </w:rPr>
              <w:t xml:space="preserve">extensión </w:t>
            </w:r>
            <w:r w:rsidRPr="001564A3">
              <w:rPr>
                <w:lang w:val="es"/>
              </w:rPr>
              <w:t>y ratificación se ha llevado a cabo con ocasión de la suscripción de</w:t>
            </w:r>
            <w:r w:rsidR="00415668" w:rsidRPr="001564A3">
              <w:rPr>
                <w:lang w:val="es"/>
              </w:rPr>
              <w:t xml:space="preserve">l </w:t>
            </w:r>
            <w:r w:rsidR="001564A3" w:rsidRPr="001564A3">
              <w:rPr>
                <w:u w:color="0000FF"/>
                <w:lang w:val="es-ES"/>
              </w:rPr>
              <w:t xml:space="preserve">Contrato de Crédito Autorizado </w:t>
            </w:r>
            <w:r w:rsidR="00D36435">
              <w:rPr>
                <w:u w:color="0000FF"/>
                <w:lang w:val="es-ES"/>
              </w:rPr>
              <w:t>2025</w:t>
            </w:r>
            <w:r w:rsidR="001564A3" w:rsidRPr="001564A3">
              <w:rPr>
                <w:u w:color="0000FF"/>
                <w:lang w:val="es-ES"/>
              </w:rPr>
              <w:t xml:space="preserve">, del </w:t>
            </w:r>
            <w:r w:rsidR="00D36435" w:rsidRPr="00EE4390">
              <w:rPr>
                <w:lang w:val="es-ES"/>
              </w:rPr>
              <w:t>Contrato de Compra de Instrumentos de Deuda</w:t>
            </w:r>
            <w:r w:rsidR="00D36435" w:rsidRPr="00EE4390">
              <w:rPr>
                <w:i/>
                <w:lang w:val="es-ES"/>
              </w:rPr>
              <w:t xml:space="preserve"> </w:t>
            </w:r>
            <w:r w:rsidR="00D36435" w:rsidRPr="00EE4390">
              <w:rPr>
                <w:lang w:val="es-ES"/>
              </w:rPr>
              <w:t xml:space="preserve">PP </w:t>
            </w:r>
            <w:r w:rsidR="00D36435">
              <w:rPr>
                <w:lang w:val="es-ES"/>
              </w:rPr>
              <w:t>2025</w:t>
            </w:r>
            <w:r w:rsidR="00D36435">
              <w:rPr>
                <w:lang w:val="es-ES" w:eastAsia="es-ES"/>
              </w:rPr>
              <w:t xml:space="preserve"> y </w:t>
            </w:r>
            <w:r w:rsidR="00D36435" w:rsidRPr="00316E16">
              <w:rPr>
                <w:lang w:val="es-ES"/>
              </w:rPr>
              <w:t xml:space="preserve">STID </w:t>
            </w:r>
            <w:proofErr w:type="spellStart"/>
            <w:r w:rsidR="00D36435" w:rsidRPr="00316E16">
              <w:rPr>
                <w:lang w:val="es-ES"/>
              </w:rPr>
              <w:t>Proposal</w:t>
            </w:r>
            <w:proofErr w:type="spellEnd"/>
            <w:r w:rsidR="00D36435">
              <w:rPr>
                <w:lang w:val="es-ES"/>
              </w:rPr>
              <w:t xml:space="preserve"> 2025</w:t>
            </w:r>
            <w:r w:rsidRPr="005465BE">
              <w:rPr>
                <w:lang w:val="es"/>
              </w:rPr>
              <w:t>, a los efectos de que la Prenda pase a garantizar</w:t>
            </w:r>
            <w:r w:rsidRPr="001564A3">
              <w:rPr>
                <w:lang w:val="es"/>
              </w:rPr>
              <w:t xml:space="preserve"> las Obligaciones </w:t>
            </w:r>
            <w:r w:rsidRPr="001564A3">
              <w:rPr>
                <w:lang w:val="es"/>
              </w:rPr>
              <w:lastRenderedPageBreak/>
              <w:t>Garantizadas tal y como se encuentran vigentes en cada momento y, en particular, pero sin limitación, a los efectos de dejar constancia de que la Prenda garantiza también dicho</w:t>
            </w:r>
            <w:r w:rsidR="001564A3" w:rsidRPr="001564A3">
              <w:rPr>
                <w:lang w:val="es"/>
              </w:rPr>
              <w:t>s</w:t>
            </w:r>
            <w:r w:rsidRPr="001564A3">
              <w:rPr>
                <w:lang w:val="es"/>
              </w:rPr>
              <w:t xml:space="preserve"> contrato</w:t>
            </w:r>
            <w:r w:rsidR="001564A3" w:rsidRPr="001564A3">
              <w:rPr>
                <w:lang w:val="es"/>
              </w:rPr>
              <w:t>s.</w:t>
            </w:r>
            <w:r w:rsidRPr="001564A3">
              <w:rPr>
                <w:lang w:val="es"/>
              </w:rPr>
              <w:t xml:space="preserve"> </w:t>
            </w:r>
          </w:p>
        </w:tc>
        <w:tc>
          <w:tcPr>
            <w:tcW w:w="4823" w:type="dxa"/>
            <w:tcMar>
              <w:top w:w="0" w:type="dxa"/>
              <w:left w:w="108" w:type="dxa"/>
              <w:bottom w:w="0" w:type="dxa"/>
              <w:right w:w="108" w:type="dxa"/>
            </w:tcMar>
          </w:tcPr>
          <w:p w14:paraId="42DC5956" w14:textId="1BE01D47" w:rsidR="00D81FCE" w:rsidRPr="001564A3" w:rsidRDefault="00D81FCE" w:rsidP="007E2625">
            <w:pPr>
              <w:pStyle w:val="AOA"/>
              <w:numPr>
                <w:ilvl w:val="0"/>
                <w:numId w:val="44"/>
              </w:numPr>
            </w:pPr>
            <w:r w:rsidRPr="001564A3">
              <w:lastRenderedPageBreak/>
              <w:t>Such</w:t>
            </w:r>
            <w:r w:rsidR="00BB2166">
              <w:t xml:space="preserve"> </w:t>
            </w:r>
            <w:r w:rsidR="00417FAE">
              <w:t xml:space="preserve">amendment, </w:t>
            </w:r>
            <w:r w:rsidR="00417FAE" w:rsidRPr="001564A3">
              <w:t xml:space="preserve">extension and ratification </w:t>
            </w:r>
            <w:r w:rsidRPr="001564A3">
              <w:t xml:space="preserve">has been effected on the occasion of the execution of </w:t>
            </w:r>
            <w:r w:rsidR="001564A3" w:rsidRPr="001564A3">
              <w:t xml:space="preserve">the </w:t>
            </w:r>
            <w:r w:rsidR="00D36435">
              <w:rPr>
                <w:lang w:eastAsia="es-ES"/>
              </w:rPr>
              <w:t>2025</w:t>
            </w:r>
            <w:r w:rsidR="00D36435" w:rsidRPr="001564A3">
              <w:rPr>
                <w:lang w:eastAsia="es-ES"/>
              </w:rPr>
              <w:t xml:space="preserve"> </w:t>
            </w:r>
            <w:r w:rsidR="001564A3" w:rsidRPr="001564A3">
              <w:t>Authorised Credit Facilities</w:t>
            </w:r>
            <w:r w:rsidR="001564A3" w:rsidRPr="001564A3">
              <w:rPr>
                <w:lang w:eastAsia="en-GB" w:bidi="en-GB"/>
              </w:rPr>
              <w:t xml:space="preserve"> Agreement, </w:t>
            </w:r>
            <w:r w:rsidR="00D36435" w:rsidRPr="00316E16">
              <w:rPr>
                <w:lang w:eastAsia="en-GB" w:bidi="en-GB"/>
              </w:rPr>
              <w:t>2025</w:t>
            </w:r>
            <w:r w:rsidR="00D36435" w:rsidRPr="00D36435">
              <w:rPr>
                <w:lang w:eastAsia="en-GB" w:bidi="en-GB"/>
              </w:rPr>
              <w:t xml:space="preserve"> </w:t>
            </w:r>
            <w:r w:rsidR="00D36435" w:rsidRPr="00316E16">
              <w:rPr>
                <w:lang w:eastAsia="en-GB" w:bidi="en-GB"/>
              </w:rPr>
              <w:t>PP Debt Note Purchase Agreement</w:t>
            </w:r>
            <w:r w:rsidR="00D36435" w:rsidRPr="00D36435">
              <w:t xml:space="preserve"> </w:t>
            </w:r>
            <w:r w:rsidR="00814EB2" w:rsidRPr="00D36435">
              <w:t xml:space="preserve">and the </w:t>
            </w:r>
            <w:r w:rsidR="00D36435" w:rsidRPr="00316E16">
              <w:t>2025</w:t>
            </w:r>
            <w:r w:rsidR="00D36435" w:rsidRPr="00D36435">
              <w:t xml:space="preserve"> </w:t>
            </w:r>
            <w:r w:rsidR="00D36435" w:rsidRPr="00316E16">
              <w:t>STID Proposal</w:t>
            </w:r>
            <w:r w:rsidR="00814EB2">
              <w:t xml:space="preserve"> </w:t>
            </w:r>
            <w:r w:rsidR="002A4EE3" w:rsidRPr="001564A3">
              <w:t xml:space="preserve">so that the </w:t>
            </w:r>
            <w:r w:rsidRPr="001564A3">
              <w:t xml:space="preserve">Pledge </w:t>
            </w:r>
            <w:r w:rsidR="002A4EE3" w:rsidRPr="001564A3">
              <w:t>secure</w:t>
            </w:r>
            <w:r w:rsidR="00A6092A" w:rsidRPr="001564A3">
              <w:t>s</w:t>
            </w:r>
            <w:r w:rsidR="002A4EE3" w:rsidRPr="001564A3">
              <w:t xml:space="preserve"> the Secured Obligations as in force at any </w:t>
            </w:r>
            <w:r w:rsidR="002A4EE3" w:rsidRPr="001564A3">
              <w:rPr>
                <w:i/>
              </w:rPr>
              <w:t>given</w:t>
            </w:r>
            <w:r w:rsidR="002A4EE3" w:rsidRPr="001564A3">
              <w:t xml:space="preserve"> </w:t>
            </w:r>
            <w:r w:rsidR="002A4EE3" w:rsidRPr="001564A3">
              <w:lastRenderedPageBreak/>
              <w:t xml:space="preserve">time </w:t>
            </w:r>
            <w:r w:rsidRPr="001564A3">
              <w:t>and, in particular, but</w:t>
            </w:r>
            <w:r w:rsidR="002A4EE3" w:rsidRPr="001564A3">
              <w:t xml:space="preserve"> not limited to</w:t>
            </w:r>
            <w:r w:rsidRPr="001564A3">
              <w:t xml:space="preserve">, for the purpose of recording that the Pledge secures such </w:t>
            </w:r>
            <w:r w:rsidR="001564A3" w:rsidRPr="001564A3">
              <w:rPr>
                <w:lang w:val="en-US"/>
              </w:rPr>
              <w:t>agreements</w:t>
            </w:r>
            <w:r w:rsidR="00415668" w:rsidRPr="001564A3">
              <w:t>.</w:t>
            </w:r>
          </w:p>
        </w:tc>
      </w:tr>
      <w:tr w:rsidR="00751AAF" w:rsidRPr="001227E6" w14:paraId="4A583FA7" w14:textId="77777777" w:rsidTr="00F726D8">
        <w:tc>
          <w:tcPr>
            <w:tcW w:w="4924" w:type="dxa"/>
            <w:gridSpan w:val="2"/>
            <w:tcMar>
              <w:top w:w="0" w:type="dxa"/>
              <w:left w:w="108" w:type="dxa"/>
              <w:bottom w:w="0" w:type="dxa"/>
              <w:right w:w="108" w:type="dxa"/>
            </w:tcMar>
            <w:hideMark/>
          </w:tcPr>
          <w:p w14:paraId="5A28960C" w14:textId="77777777" w:rsidR="00751AAF" w:rsidRPr="001227E6" w:rsidRDefault="00751AAF" w:rsidP="00F726D8">
            <w:pPr>
              <w:pStyle w:val="AODocTxt"/>
              <w:rPr>
                <w:lang w:val="es"/>
              </w:rPr>
            </w:pPr>
            <w:r w:rsidRPr="001227E6">
              <w:rPr>
                <w:lang w:val="es"/>
              </w:rPr>
              <w:lastRenderedPageBreak/>
              <w:t>Atentamente,</w:t>
            </w:r>
          </w:p>
        </w:tc>
        <w:tc>
          <w:tcPr>
            <w:tcW w:w="4823" w:type="dxa"/>
            <w:tcMar>
              <w:top w:w="0" w:type="dxa"/>
              <w:left w:w="108" w:type="dxa"/>
              <w:bottom w:w="0" w:type="dxa"/>
              <w:right w:w="108" w:type="dxa"/>
            </w:tcMar>
            <w:hideMark/>
          </w:tcPr>
          <w:p w14:paraId="62113CD9" w14:textId="77777777" w:rsidR="00751AAF" w:rsidRPr="001227E6" w:rsidRDefault="00751AAF" w:rsidP="00F726D8">
            <w:pPr>
              <w:pStyle w:val="AODocTxt"/>
              <w:rPr>
                <w:lang w:val="es"/>
              </w:rPr>
            </w:pPr>
            <w:proofErr w:type="spellStart"/>
            <w:r w:rsidRPr="001227E6">
              <w:rPr>
                <w:lang w:val="es"/>
              </w:rPr>
              <w:t>Yours</w:t>
            </w:r>
            <w:proofErr w:type="spellEnd"/>
            <w:r w:rsidRPr="001227E6">
              <w:rPr>
                <w:lang w:val="es"/>
              </w:rPr>
              <w:t xml:space="preserve"> </w:t>
            </w:r>
            <w:proofErr w:type="spellStart"/>
            <w:r w:rsidRPr="001227E6">
              <w:rPr>
                <w:lang w:val="es"/>
              </w:rPr>
              <w:t>faithfully</w:t>
            </w:r>
            <w:proofErr w:type="spellEnd"/>
            <w:r w:rsidRPr="001227E6">
              <w:rPr>
                <w:lang w:val="es"/>
              </w:rPr>
              <w:t>,</w:t>
            </w:r>
          </w:p>
        </w:tc>
      </w:tr>
      <w:tr w:rsidR="00751AAF" w:rsidRPr="001227E6" w14:paraId="1BE6DB4F" w14:textId="77777777" w:rsidTr="00F726D8">
        <w:tblPrEx>
          <w:tblCellMar>
            <w:left w:w="108" w:type="dxa"/>
            <w:right w:w="108" w:type="dxa"/>
          </w:tblCellMar>
          <w:tblLook w:val="0000" w:firstRow="0" w:lastRow="0" w:firstColumn="0" w:lastColumn="0" w:noHBand="0" w:noVBand="0"/>
        </w:tblPrEx>
        <w:tc>
          <w:tcPr>
            <w:tcW w:w="9747" w:type="dxa"/>
            <w:gridSpan w:val="3"/>
          </w:tcPr>
          <w:p w14:paraId="368EB5F2" w14:textId="77777777" w:rsidR="00751AAF" w:rsidRPr="001227E6" w:rsidRDefault="00751AAF" w:rsidP="00F726D8">
            <w:pPr>
              <w:pStyle w:val="AODocTxt"/>
              <w:rPr>
                <w:rFonts w:eastAsia="Times New Roman"/>
                <w:b/>
                <w:lang w:val="es"/>
              </w:rPr>
            </w:pPr>
            <w:r w:rsidRPr="001227E6">
              <w:rPr>
                <w:rFonts w:eastAsia="Times New Roman"/>
                <w:b/>
                <w:lang w:val="es"/>
              </w:rPr>
              <w:t xml:space="preserve">El </w:t>
            </w:r>
            <w:proofErr w:type="spellStart"/>
            <w:r w:rsidRPr="001227E6">
              <w:rPr>
                <w:rFonts w:eastAsia="Times New Roman"/>
                <w:b/>
                <w:lang w:val="es"/>
              </w:rPr>
              <w:t>Pignorante</w:t>
            </w:r>
            <w:proofErr w:type="spellEnd"/>
            <w:r w:rsidRPr="001227E6">
              <w:rPr>
                <w:rFonts w:eastAsia="Times New Roman"/>
                <w:b/>
                <w:lang w:val="es"/>
              </w:rPr>
              <w:t xml:space="preserve"> / The </w:t>
            </w:r>
            <w:proofErr w:type="spellStart"/>
            <w:r w:rsidRPr="001227E6">
              <w:rPr>
                <w:rFonts w:eastAsia="Times New Roman"/>
                <w:b/>
                <w:lang w:val="es"/>
              </w:rPr>
              <w:t>Pledgor</w:t>
            </w:r>
            <w:proofErr w:type="spellEnd"/>
          </w:p>
        </w:tc>
      </w:tr>
      <w:tr w:rsidR="00413F1B" w:rsidRPr="001227E6" w14:paraId="6A64B4E7" w14:textId="77777777" w:rsidTr="00F726D8">
        <w:tblPrEx>
          <w:tblCellMar>
            <w:left w:w="108" w:type="dxa"/>
            <w:right w:w="108" w:type="dxa"/>
          </w:tblCellMar>
          <w:tblLook w:val="0000" w:firstRow="0" w:lastRow="0" w:firstColumn="0" w:lastColumn="0" w:noHBand="0" w:noVBand="0"/>
        </w:tblPrEx>
        <w:tc>
          <w:tcPr>
            <w:tcW w:w="9747" w:type="dxa"/>
            <w:gridSpan w:val="3"/>
          </w:tcPr>
          <w:p w14:paraId="730D9046" w14:textId="01FEAF81" w:rsidR="00413F1B" w:rsidRPr="001227E6" w:rsidRDefault="00413F1B" w:rsidP="00F726D8">
            <w:pPr>
              <w:pStyle w:val="AODocTxt"/>
              <w:rPr>
                <w:rFonts w:eastAsia="Times New Roman"/>
                <w:b/>
                <w:lang w:val="es"/>
              </w:rPr>
            </w:pPr>
            <w:r w:rsidRPr="001227E6">
              <w:rPr>
                <w:rFonts w:eastAsia="Times New Roman"/>
                <w:b/>
                <w:caps/>
                <w:lang w:val="es" w:eastAsia="zh-HK"/>
              </w:rPr>
              <w:t>[</w:t>
            </w:r>
            <w:r w:rsidRPr="001227E6">
              <w:rPr>
                <w:rFonts w:ascii="Wingdings" w:eastAsia="Times New Roman" w:hAnsi="Wingdings"/>
                <w:b/>
                <w:caps/>
                <w:lang w:val="es" w:eastAsia="zh-HK"/>
              </w:rPr>
              <w:sym w:font="Wingdings" w:char="F06C"/>
            </w:r>
            <w:r w:rsidRPr="001227E6">
              <w:rPr>
                <w:rFonts w:eastAsia="Times New Roman"/>
                <w:b/>
                <w:caps/>
                <w:lang w:val="es" w:eastAsia="zh-HK"/>
              </w:rPr>
              <w:t>]</w:t>
            </w:r>
          </w:p>
        </w:tc>
      </w:tr>
      <w:tr w:rsidR="00751AAF" w:rsidRPr="001227E6" w14:paraId="26EE5C48" w14:textId="77777777" w:rsidTr="00F726D8">
        <w:tblPrEx>
          <w:tblCellMar>
            <w:left w:w="108" w:type="dxa"/>
            <w:right w:w="108" w:type="dxa"/>
          </w:tblCellMar>
          <w:tblLook w:val="0000" w:firstRow="0" w:lastRow="0" w:firstColumn="0" w:lastColumn="0" w:noHBand="0" w:noVBand="0"/>
        </w:tblPrEx>
        <w:tc>
          <w:tcPr>
            <w:tcW w:w="9747" w:type="dxa"/>
            <w:gridSpan w:val="3"/>
          </w:tcPr>
          <w:p w14:paraId="027829BD" w14:textId="44EB8DD5" w:rsidR="00751AAF" w:rsidRDefault="00751AAF" w:rsidP="00413F1B">
            <w:pPr>
              <w:pStyle w:val="AONormal"/>
              <w:rPr>
                <w:lang w:val="es"/>
              </w:rPr>
            </w:pPr>
          </w:p>
          <w:p w14:paraId="1BAD0663" w14:textId="24D0E29B" w:rsidR="00413F1B" w:rsidRDefault="00413F1B" w:rsidP="00413F1B">
            <w:pPr>
              <w:pStyle w:val="AONormal"/>
              <w:rPr>
                <w:lang w:val="es"/>
              </w:rPr>
            </w:pPr>
          </w:p>
          <w:p w14:paraId="7C92236E" w14:textId="77777777" w:rsidR="00413F1B" w:rsidRPr="001227E6" w:rsidRDefault="00413F1B" w:rsidP="00413F1B">
            <w:pPr>
              <w:pStyle w:val="AONormal"/>
              <w:rPr>
                <w:lang w:val="es"/>
              </w:rPr>
            </w:pPr>
          </w:p>
          <w:p w14:paraId="56E5E870" w14:textId="77777777" w:rsidR="00751AAF" w:rsidRPr="001227E6" w:rsidRDefault="00751AAF" w:rsidP="00F726D8">
            <w:pPr>
              <w:pStyle w:val="AODocTxt"/>
              <w:rPr>
                <w:rFonts w:eastAsia="Times New Roman"/>
                <w:u w:val="single"/>
                <w:lang w:val="es"/>
              </w:rPr>
            </w:pPr>
            <w:r w:rsidRPr="001227E6">
              <w:rPr>
                <w:rFonts w:eastAsia="Times New Roman"/>
                <w:u w:val="single"/>
                <w:lang w:val="es"/>
              </w:rPr>
              <w:tab/>
            </w:r>
            <w:r w:rsidRPr="001227E6">
              <w:rPr>
                <w:rFonts w:eastAsia="Times New Roman"/>
                <w:u w:val="single"/>
                <w:lang w:val="es"/>
              </w:rPr>
              <w:tab/>
            </w:r>
            <w:r w:rsidRPr="001227E6">
              <w:rPr>
                <w:rFonts w:eastAsia="Times New Roman"/>
                <w:u w:val="single"/>
                <w:lang w:val="es"/>
              </w:rPr>
              <w:tab/>
            </w:r>
            <w:r w:rsidRPr="001227E6">
              <w:rPr>
                <w:rFonts w:eastAsia="Times New Roman"/>
                <w:u w:val="single"/>
                <w:lang w:val="es"/>
              </w:rPr>
              <w:tab/>
            </w:r>
          </w:p>
          <w:p w14:paraId="6B29354B" w14:textId="01D8E540" w:rsidR="00751AAF" w:rsidRPr="001227E6" w:rsidRDefault="00751AAF" w:rsidP="00413F1B">
            <w:pPr>
              <w:pStyle w:val="AONormal"/>
              <w:rPr>
                <w:lang w:val="es"/>
              </w:rPr>
            </w:pPr>
            <w:r w:rsidRPr="001227E6">
              <w:rPr>
                <w:lang w:val="es"/>
              </w:rPr>
              <w:t>[</w:t>
            </w:r>
            <w:r w:rsidRPr="001227E6">
              <w:rPr>
                <w:rFonts w:ascii="Wingdings" w:hAnsi="Wingdings"/>
                <w:lang w:val="es"/>
              </w:rPr>
              <w:sym w:font="Wingdings" w:char="F06C"/>
            </w:r>
            <w:r w:rsidRPr="001227E6">
              <w:rPr>
                <w:lang w:val="es"/>
              </w:rPr>
              <w:t>]</w:t>
            </w:r>
          </w:p>
        </w:tc>
      </w:tr>
      <w:tr w:rsidR="00751AAF" w:rsidRPr="001227E6" w14:paraId="23D3FDE6" w14:textId="77777777" w:rsidTr="00F726D8">
        <w:tblPrEx>
          <w:tblCellMar>
            <w:left w:w="108" w:type="dxa"/>
            <w:right w:w="108" w:type="dxa"/>
          </w:tblCellMar>
          <w:tblLook w:val="0000" w:firstRow="0" w:lastRow="0" w:firstColumn="0" w:lastColumn="0" w:noHBand="0" w:noVBand="0"/>
        </w:tblPrEx>
        <w:trPr>
          <w:cantSplit/>
        </w:trPr>
        <w:tc>
          <w:tcPr>
            <w:tcW w:w="9747" w:type="dxa"/>
            <w:gridSpan w:val="3"/>
          </w:tcPr>
          <w:p w14:paraId="21570E80" w14:textId="77777777" w:rsidR="00751AAF" w:rsidRPr="001227E6" w:rsidRDefault="00751AAF" w:rsidP="00137772">
            <w:pPr>
              <w:pStyle w:val="AODocTxt"/>
              <w:rPr>
                <w:rFonts w:eastAsia="Times New Roman"/>
                <w:b/>
                <w:lang w:val="es"/>
              </w:rPr>
            </w:pPr>
            <w:r w:rsidRPr="001227E6">
              <w:rPr>
                <w:rFonts w:eastAsia="Times New Roman"/>
                <w:b/>
                <w:lang w:val="es"/>
              </w:rPr>
              <w:t xml:space="preserve">El Agente de Garantías / The </w:t>
            </w:r>
            <w:r>
              <w:rPr>
                <w:rFonts w:eastAsia="Times New Roman"/>
                <w:b/>
                <w:lang w:val="es"/>
              </w:rPr>
              <w:t>Security Trustee</w:t>
            </w:r>
          </w:p>
        </w:tc>
      </w:tr>
      <w:tr w:rsidR="00413F1B" w:rsidRPr="001227E6" w14:paraId="3271BF69" w14:textId="77777777" w:rsidTr="00F726D8">
        <w:tblPrEx>
          <w:tblCellMar>
            <w:left w:w="108" w:type="dxa"/>
            <w:right w:w="108" w:type="dxa"/>
          </w:tblCellMar>
          <w:tblLook w:val="0000" w:firstRow="0" w:lastRow="0" w:firstColumn="0" w:lastColumn="0" w:noHBand="0" w:noVBand="0"/>
        </w:tblPrEx>
        <w:trPr>
          <w:cantSplit/>
        </w:trPr>
        <w:tc>
          <w:tcPr>
            <w:tcW w:w="9747" w:type="dxa"/>
            <w:gridSpan w:val="3"/>
          </w:tcPr>
          <w:p w14:paraId="1BF5740C" w14:textId="27B39C1E" w:rsidR="00413F1B" w:rsidRPr="001227E6" w:rsidRDefault="00413F1B" w:rsidP="00137772">
            <w:pPr>
              <w:pStyle w:val="AODocTxt"/>
              <w:rPr>
                <w:rFonts w:eastAsia="Times New Roman"/>
                <w:b/>
                <w:lang w:val="es"/>
              </w:rPr>
            </w:pPr>
            <w:r w:rsidRPr="001227E6">
              <w:rPr>
                <w:rFonts w:eastAsia="Times New Roman"/>
                <w:b/>
                <w:lang w:val="es"/>
              </w:rPr>
              <w:t>[</w:t>
            </w:r>
            <w:r w:rsidRPr="001227E6">
              <w:rPr>
                <w:rFonts w:ascii="Wingdings" w:eastAsia="Times New Roman" w:hAnsi="Wingdings"/>
                <w:b/>
                <w:lang w:val="es"/>
              </w:rPr>
              <w:sym w:font="Wingdings" w:char="F06C"/>
            </w:r>
            <w:r w:rsidRPr="001227E6">
              <w:rPr>
                <w:rFonts w:eastAsia="Times New Roman"/>
                <w:b/>
                <w:lang w:val="es"/>
              </w:rPr>
              <w:t>]</w:t>
            </w:r>
          </w:p>
        </w:tc>
      </w:tr>
      <w:tr w:rsidR="00751AAF" w:rsidRPr="001227E6" w14:paraId="6D4AABDC" w14:textId="77777777" w:rsidTr="00F726D8">
        <w:tblPrEx>
          <w:tblCellMar>
            <w:left w:w="108" w:type="dxa"/>
            <w:right w:w="108" w:type="dxa"/>
          </w:tblCellMar>
          <w:tblLook w:val="0000" w:firstRow="0" w:lastRow="0" w:firstColumn="0" w:lastColumn="0" w:noHBand="0" w:noVBand="0"/>
        </w:tblPrEx>
        <w:trPr>
          <w:cantSplit/>
        </w:trPr>
        <w:tc>
          <w:tcPr>
            <w:tcW w:w="9747" w:type="dxa"/>
            <w:gridSpan w:val="3"/>
          </w:tcPr>
          <w:p w14:paraId="16C01947" w14:textId="2B3C5900" w:rsidR="00751AAF" w:rsidRPr="001227E6" w:rsidRDefault="00751AAF" w:rsidP="00413F1B">
            <w:pPr>
              <w:pStyle w:val="AONormal"/>
              <w:rPr>
                <w:lang w:val="es"/>
              </w:rPr>
            </w:pPr>
          </w:p>
          <w:p w14:paraId="62967F86" w14:textId="77777777" w:rsidR="00751AAF" w:rsidRPr="001227E6" w:rsidRDefault="00751AAF" w:rsidP="00413F1B">
            <w:pPr>
              <w:pStyle w:val="AONormal"/>
              <w:rPr>
                <w:lang w:val="es"/>
              </w:rPr>
            </w:pPr>
          </w:p>
          <w:p w14:paraId="42A72380" w14:textId="77777777" w:rsidR="00751AAF" w:rsidRPr="001227E6" w:rsidRDefault="00751AAF" w:rsidP="00413F1B">
            <w:pPr>
              <w:pStyle w:val="AONormal"/>
              <w:rPr>
                <w:lang w:val="es"/>
              </w:rPr>
            </w:pPr>
          </w:p>
          <w:p w14:paraId="2109CDF4" w14:textId="77777777" w:rsidR="00751AAF" w:rsidRPr="001227E6" w:rsidRDefault="00751AAF" w:rsidP="00F726D8">
            <w:pPr>
              <w:pStyle w:val="AODocTxt"/>
              <w:rPr>
                <w:rFonts w:eastAsia="Times New Roman"/>
                <w:u w:val="single"/>
                <w:lang w:val="es"/>
              </w:rPr>
            </w:pPr>
            <w:r w:rsidRPr="001227E6">
              <w:rPr>
                <w:rFonts w:eastAsia="Times New Roman"/>
                <w:u w:val="single"/>
                <w:lang w:val="es"/>
              </w:rPr>
              <w:tab/>
            </w:r>
            <w:r w:rsidRPr="001227E6">
              <w:rPr>
                <w:rFonts w:eastAsia="Times New Roman"/>
                <w:u w:val="single"/>
                <w:lang w:val="es"/>
              </w:rPr>
              <w:tab/>
            </w:r>
            <w:r w:rsidRPr="001227E6">
              <w:rPr>
                <w:rFonts w:eastAsia="Times New Roman"/>
                <w:u w:val="single"/>
                <w:lang w:val="es"/>
              </w:rPr>
              <w:tab/>
            </w:r>
            <w:r w:rsidRPr="001227E6">
              <w:rPr>
                <w:rFonts w:eastAsia="Times New Roman"/>
                <w:u w:val="single"/>
                <w:lang w:val="es"/>
              </w:rPr>
              <w:tab/>
            </w:r>
          </w:p>
          <w:p w14:paraId="102EC510" w14:textId="77777777" w:rsidR="00751AAF" w:rsidRPr="001227E6" w:rsidRDefault="00751AAF" w:rsidP="00F726D8">
            <w:pPr>
              <w:pStyle w:val="AONormal"/>
              <w:rPr>
                <w:lang w:val="es"/>
              </w:rPr>
            </w:pPr>
            <w:r w:rsidRPr="001227E6">
              <w:rPr>
                <w:lang w:val="es"/>
              </w:rPr>
              <w:t>[</w:t>
            </w:r>
            <w:r w:rsidRPr="001227E6">
              <w:rPr>
                <w:rFonts w:ascii="Wingdings" w:hAnsi="Wingdings"/>
                <w:lang w:val="es"/>
              </w:rPr>
              <w:sym w:font="Wingdings" w:char="F06C"/>
            </w:r>
            <w:r w:rsidRPr="001227E6">
              <w:rPr>
                <w:lang w:val="es"/>
              </w:rPr>
              <w:t>]</w:t>
            </w:r>
          </w:p>
        </w:tc>
      </w:tr>
      <w:tr w:rsidR="00751AAF" w:rsidRPr="00BC47B1" w14:paraId="65EFD32C" w14:textId="77777777" w:rsidTr="00F726D8">
        <w:tblPrEx>
          <w:tblCellMar>
            <w:left w:w="108" w:type="dxa"/>
            <w:right w:w="108" w:type="dxa"/>
          </w:tblCellMar>
          <w:tblLook w:val="0000" w:firstRow="0" w:lastRow="0" w:firstColumn="0" w:lastColumn="0" w:noHBand="0" w:noVBand="0"/>
        </w:tblPrEx>
        <w:trPr>
          <w:cantSplit/>
        </w:trPr>
        <w:tc>
          <w:tcPr>
            <w:tcW w:w="4873" w:type="dxa"/>
          </w:tcPr>
          <w:p w14:paraId="64B007D6" w14:textId="15658DF2" w:rsidR="00751AAF" w:rsidRPr="001227E6" w:rsidRDefault="00751AAF" w:rsidP="00F726D8">
            <w:pPr>
              <w:pStyle w:val="AODocTxt"/>
              <w:rPr>
                <w:rFonts w:eastAsia="Times New Roman"/>
                <w:lang w:val="es"/>
              </w:rPr>
            </w:pPr>
            <w:r w:rsidRPr="001227E6">
              <w:rPr>
                <w:rFonts w:eastAsia="Times New Roman"/>
                <w:lang w:val="es"/>
              </w:rPr>
              <w:t>Por la presente, le solicitamos que tomen razón del contenido de esta notificación y a tal efecto envíen una copia escaneada de la notificación firmada a las siguiente</w:t>
            </w:r>
            <w:r w:rsidR="002F1C49">
              <w:rPr>
                <w:rFonts w:eastAsia="Times New Roman"/>
                <w:lang w:val="es"/>
              </w:rPr>
              <w:t>s</w:t>
            </w:r>
            <w:r w:rsidRPr="001227E6">
              <w:rPr>
                <w:rFonts w:eastAsia="Times New Roman"/>
                <w:lang w:val="es"/>
              </w:rPr>
              <w:t xml:space="preserve"> direcciones de correo electrónico:</w:t>
            </w:r>
          </w:p>
        </w:tc>
        <w:tc>
          <w:tcPr>
            <w:tcW w:w="4874" w:type="dxa"/>
            <w:gridSpan w:val="2"/>
          </w:tcPr>
          <w:p w14:paraId="502992C1" w14:textId="77777777" w:rsidR="00751AAF" w:rsidRPr="00BC47B1" w:rsidRDefault="00751AAF" w:rsidP="00F726D8">
            <w:pPr>
              <w:pStyle w:val="AODocTxt"/>
              <w:rPr>
                <w:rFonts w:eastAsia="Times New Roman"/>
              </w:rPr>
            </w:pPr>
            <w:r w:rsidRPr="00BC47B1">
              <w:rPr>
                <w:rFonts w:eastAsia="Times New Roman"/>
              </w:rPr>
              <w:t>We hereby request you to please acknowledge the terms of this notice and return a pdf copy of the executed copy to the following email addresses:</w:t>
            </w:r>
          </w:p>
        </w:tc>
      </w:tr>
      <w:tr w:rsidR="00751AAF" w:rsidRPr="001227E6" w14:paraId="4B4C6DC4" w14:textId="77777777" w:rsidTr="00F726D8">
        <w:tblPrEx>
          <w:tblCellMar>
            <w:left w:w="108" w:type="dxa"/>
            <w:right w:w="108" w:type="dxa"/>
          </w:tblCellMar>
          <w:tblLook w:val="0000" w:firstRow="0" w:lastRow="0" w:firstColumn="0" w:lastColumn="0" w:noHBand="0" w:noVBand="0"/>
        </w:tblPrEx>
        <w:trPr>
          <w:cantSplit/>
        </w:trPr>
        <w:tc>
          <w:tcPr>
            <w:tcW w:w="4873" w:type="dxa"/>
          </w:tcPr>
          <w:p w14:paraId="3C852FC1" w14:textId="77777777" w:rsidR="00751AAF" w:rsidRPr="001227E6" w:rsidRDefault="00751AAF" w:rsidP="00F726D8">
            <w:pPr>
              <w:pStyle w:val="AODocTxt"/>
              <w:rPr>
                <w:rFonts w:eastAsia="Times New Roman"/>
                <w:lang w:val="es"/>
              </w:rPr>
            </w:pPr>
            <w:r w:rsidRPr="001227E6">
              <w:rPr>
                <w:rFonts w:eastAsia="Times New Roman"/>
                <w:lang w:val="es"/>
              </w:rPr>
              <w:t>[</w:t>
            </w:r>
            <w:r w:rsidRPr="001227E6">
              <w:rPr>
                <w:rFonts w:ascii="Wingdings" w:eastAsia="Times New Roman" w:hAnsi="Wingdings"/>
                <w:lang w:val="es"/>
              </w:rPr>
              <w:sym w:font="Wingdings" w:char="F06C"/>
            </w:r>
            <w:r w:rsidRPr="001227E6">
              <w:rPr>
                <w:rFonts w:eastAsia="Times New Roman"/>
                <w:lang w:val="es"/>
              </w:rPr>
              <w:t>]</w:t>
            </w:r>
          </w:p>
          <w:p w14:paraId="5C85C0C0" w14:textId="77777777" w:rsidR="00751AAF" w:rsidRPr="001227E6" w:rsidRDefault="00751AAF" w:rsidP="00F726D8">
            <w:pPr>
              <w:pStyle w:val="AODocTxt"/>
              <w:rPr>
                <w:rFonts w:eastAsia="Times New Roman"/>
                <w:b/>
                <w:lang w:val="es"/>
              </w:rPr>
            </w:pPr>
            <w:r w:rsidRPr="001227E6">
              <w:rPr>
                <w:rFonts w:eastAsia="Times New Roman"/>
                <w:lang w:val="es"/>
              </w:rPr>
              <w:t>[</w:t>
            </w:r>
            <w:r w:rsidRPr="001227E6">
              <w:rPr>
                <w:rFonts w:ascii="Wingdings" w:eastAsia="Times New Roman" w:hAnsi="Wingdings"/>
                <w:lang w:val="es"/>
              </w:rPr>
              <w:sym w:font="Wingdings" w:char="F06C"/>
            </w:r>
            <w:r w:rsidRPr="001227E6">
              <w:rPr>
                <w:rFonts w:eastAsia="Times New Roman"/>
                <w:lang w:val="es"/>
              </w:rPr>
              <w:t>]</w:t>
            </w:r>
          </w:p>
        </w:tc>
        <w:tc>
          <w:tcPr>
            <w:tcW w:w="4874" w:type="dxa"/>
            <w:gridSpan w:val="2"/>
          </w:tcPr>
          <w:p w14:paraId="12406416" w14:textId="77777777" w:rsidR="00751AAF" w:rsidRPr="001227E6" w:rsidRDefault="00751AAF" w:rsidP="00F726D8">
            <w:pPr>
              <w:pStyle w:val="AODocTxt"/>
              <w:rPr>
                <w:rFonts w:eastAsia="Times New Roman"/>
                <w:b/>
                <w:lang w:val="es"/>
              </w:rPr>
            </w:pPr>
          </w:p>
        </w:tc>
      </w:tr>
      <w:tr w:rsidR="00751AAF" w:rsidRPr="001227E6" w14:paraId="616A941D" w14:textId="77777777" w:rsidTr="00F726D8">
        <w:tblPrEx>
          <w:tblCellMar>
            <w:left w:w="108" w:type="dxa"/>
            <w:right w:w="108" w:type="dxa"/>
          </w:tblCellMar>
          <w:tblLook w:val="0000" w:firstRow="0" w:lastRow="0" w:firstColumn="0" w:lastColumn="0" w:noHBand="0" w:noVBand="0"/>
        </w:tblPrEx>
        <w:trPr>
          <w:cantSplit/>
        </w:trPr>
        <w:tc>
          <w:tcPr>
            <w:tcW w:w="4873" w:type="dxa"/>
          </w:tcPr>
          <w:p w14:paraId="4E1BE6DF" w14:textId="77777777" w:rsidR="00751AAF" w:rsidRPr="001227E6" w:rsidRDefault="00751AAF" w:rsidP="00F726D8">
            <w:pPr>
              <w:pStyle w:val="AODocTxt"/>
              <w:rPr>
                <w:rFonts w:eastAsia="Times New Roman"/>
                <w:lang w:val="es"/>
              </w:rPr>
            </w:pPr>
            <w:r w:rsidRPr="001227E6">
              <w:rPr>
                <w:rFonts w:eastAsia="Times New Roman"/>
                <w:lang w:val="es"/>
              </w:rPr>
              <w:t>Recibido y conforme:</w:t>
            </w:r>
          </w:p>
        </w:tc>
        <w:tc>
          <w:tcPr>
            <w:tcW w:w="4874" w:type="dxa"/>
            <w:gridSpan w:val="2"/>
          </w:tcPr>
          <w:p w14:paraId="1F74DDB8" w14:textId="77777777" w:rsidR="00751AAF" w:rsidRPr="001227E6" w:rsidRDefault="00751AAF" w:rsidP="00F726D8">
            <w:pPr>
              <w:pStyle w:val="AODocTxt"/>
              <w:rPr>
                <w:rFonts w:eastAsia="Times New Roman"/>
                <w:b/>
                <w:lang w:val="es"/>
              </w:rPr>
            </w:pPr>
          </w:p>
        </w:tc>
      </w:tr>
      <w:tr w:rsidR="00751AAF" w:rsidRPr="00CD7F22" w14:paraId="48E4252E" w14:textId="77777777" w:rsidTr="00F726D8">
        <w:tblPrEx>
          <w:tblCellMar>
            <w:left w:w="108" w:type="dxa"/>
            <w:right w:w="108" w:type="dxa"/>
          </w:tblCellMar>
          <w:tblLook w:val="0000" w:firstRow="0" w:lastRow="0" w:firstColumn="0" w:lastColumn="0" w:noHBand="0" w:noVBand="0"/>
        </w:tblPrEx>
        <w:trPr>
          <w:cantSplit/>
        </w:trPr>
        <w:tc>
          <w:tcPr>
            <w:tcW w:w="4873" w:type="dxa"/>
          </w:tcPr>
          <w:p w14:paraId="50C1062F" w14:textId="77777777" w:rsidR="00751AAF" w:rsidRPr="001227E6" w:rsidRDefault="00751AAF" w:rsidP="00F726D8">
            <w:pPr>
              <w:pStyle w:val="AODocTxt"/>
              <w:rPr>
                <w:rFonts w:eastAsia="Times New Roman"/>
                <w:b/>
                <w:lang w:val="es"/>
              </w:rPr>
            </w:pPr>
            <w:r w:rsidRPr="001227E6">
              <w:rPr>
                <w:rFonts w:eastAsia="Times New Roman"/>
                <w:b/>
                <w:lang w:val="es"/>
              </w:rPr>
              <w:t xml:space="preserve">El Banco Depositario / The </w:t>
            </w:r>
            <w:proofErr w:type="spellStart"/>
            <w:r w:rsidRPr="001227E6">
              <w:rPr>
                <w:rFonts w:eastAsia="Times New Roman"/>
                <w:b/>
                <w:lang w:val="es"/>
              </w:rPr>
              <w:t>Depositary</w:t>
            </w:r>
            <w:proofErr w:type="spellEnd"/>
            <w:r w:rsidRPr="001227E6">
              <w:rPr>
                <w:rFonts w:eastAsia="Times New Roman"/>
                <w:b/>
                <w:lang w:val="es"/>
              </w:rPr>
              <w:t xml:space="preserve"> Bank</w:t>
            </w:r>
          </w:p>
        </w:tc>
        <w:tc>
          <w:tcPr>
            <w:tcW w:w="4874" w:type="dxa"/>
            <w:gridSpan w:val="2"/>
          </w:tcPr>
          <w:p w14:paraId="18171743" w14:textId="77777777" w:rsidR="00751AAF" w:rsidRPr="001227E6" w:rsidRDefault="00751AAF" w:rsidP="00F726D8">
            <w:pPr>
              <w:pStyle w:val="AODocTxt"/>
              <w:rPr>
                <w:rFonts w:eastAsia="Times New Roman"/>
                <w:b/>
                <w:lang w:val="es"/>
              </w:rPr>
            </w:pPr>
          </w:p>
        </w:tc>
      </w:tr>
      <w:tr w:rsidR="00413F1B" w:rsidRPr="00413F1B" w14:paraId="3C18539E" w14:textId="77777777" w:rsidTr="00F726D8">
        <w:tblPrEx>
          <w:tblCellMar>
            <w:left w:w="108" w:type="dxa"/>
            <w:right w:w="108" w:type="dxa"/>
          </w:tblCellMar>
          <w:tblLook w:val="0000" w:firstRow="0" w:lastRow="0" w:firstColumn="0" w:lastColumn="0" w:noHBand="0" w:noVBand="0"/>
        </w:tblPrEx>
        <w:trPr>
          <w:cantSplit/>
        </w:trPr>
        <w:tc>
          <w:tcPr>
            <w:tcW w:w="4873" w:type="dxa"/>
          </w:tcPr>
          <w:p w14:paraId="680C99D3" w14:textId="5A13A282" w:rsidR="00413F1B" w:rsidRPr="001227E6" w:rsidRDefault="00413F1B" w:rsidP="00413F1B">
            <w:pPr>
              <w:pStyle w:val="AODocTxt"/>
              <w:rPr>
                <w:rFonts w:eastAsia="Times New Roman"/>
                <w:b/>
                <w:lang w:val="es"/>
              </w:rPr>
            </w:pPr>
            <w:r w:rsidRPr="001227E6">
              <w:rPr>
                <w:b/>
                <w:bCs/>
                <w:caps/>
                <w:lang w:val="es" w:eastAsia="zh-HK"/>
              </w:rPr>
              <w:t>[</w:t>
            </w:r>
            <w:r w:rsidRPr="001227E6">
              <w:rPr>
                <w:rFonts w:ascii="Wingdings" w:hAnsi="Wingdings"/>
                <w:b/>
                <w:bCs/>
                <w:caps/>
                <w:lang w:val="es" w:eastAsia="zh-HK"/>
              </w:rPr>
              <w:sym w:font="Wingdings" w:char="F06C"/>
            </w:r>
            <w:r w:rsidRPr="001227E6">
              <w:rPr>
                <w:b/>
                <w:bCs/>
                <w:caps/>
                <w:lang w:val="es" w:eastAsia="zh-HK"/>
              </w:rPr>
              <w:t>]</w:t>
            </w:r>
          </w:p>
        </w:tc>
        <w:tc>
          <w:tcPr>
            <w:tcW w:w="4874" w:type="dxa"/>
            <w:gridSpan w:val="2"/>
          </w:tcPr>
          <w:p w14:paraId="46761BE1" w14:textId="77777777" w:rsidR="00413F1B" w:rsidRPr="001227E6" w:rsidRDefault="00413F1B" w:rsidP="00F726D8">
            <w:pPr>
              <w:pStyle w:val="AODocTxt"/>
              <w:rPr>
                <w:rFonts w:eastAsia="Times New Roman"/>
                <w:b/>
                <w:lang w:val="es"/>
              </w:rPr>
            </w:pPr>
          </w:p>
        </w:tc>
      </w:tr>
      <w:tr w:rsidR="00751AAF" w:rsidRPr="001227E6" w14:paraId="69D0BE8B" w14:textId="77777777" w:rsidTr="00F726D8">
        <w:tblPrEx>
          <w:tblCellMar>
            <w:left w:w="108" w:type="dxa"/>
            <w:right w:w="108" w:type="dxa"/>
          </w:tblCellMar>
          <w:tblLook w:val="0000" w:firstRow="0" w:lastRow="0" w:firstColumn="0" w:lastColumn="0" w:noHBand="0" w:noVBand="0"/>
        </w:tblPrEx>
        <w:trPr>
          <w:cantSplit/>
        </w:trPr>
        <w:tc>
          <w:tcPr>
            <w:tcW w:w="4873" w:type="dxa"/>
          </w:tcPr>
          <w:p w14:paraId="73732642" w14:textId="1E910D54" w:rsidR="00751AAF" w:rsidRDefault="00751AAF" w:rsidP="00413F1B">
            <w:pPr>
              <w:pStyle w:val="AONormal"/>
              <w:rPr>
                <w:lang w:val="es" w:eastAsia="zh-HK"/>
              </w:rPr>
            </w:pPr>
          </w:p>
          <w:p w14:paraId="3DB90B3C" w14:textId="77777777" w:rsidR="00413F1B" w:rsidRPr="001227E6" w:rsidRDefault="00413F1B" w:rsidP="00413F1B">
            <w:pPr>
              <w:pStyle w:val="AONormal"/>
              <w:rPr>
                <w:lang w:val="es" w:eastAsia="zh-HK"/>
              </w:rPr>
            </w:pPr>
          </w:p>
          <w:p w14:paraId="238F95EF" w14:textId="77777777" w:rsidR="00751AAF" w:rsidRPr="001227E6" w:rsidRDefault="00751AAF" w:rsidP="00413F1B">
            <w:pPr>
              <w:pStyle w:val="AONormal"/>
              <w:rPr>
                <w:lang w:val="es" w:eastAsia="zh-HK"/>
              </w:rPr>
            </w:pPr>
          </w:p>
          <w:p w14:paraId="5677B14A" w14:textId="77777777" w:rsidR="00751AAF" w:rsidRPr="001227E6" w:rsidRDefault="00751AAF" w:rsidP="00F726D8">
            <w:pPr>
              <w:pStyle w:val="AODocTxt"/>
              <w:rPr>
                <w:rFonts w:eastAsia="Times New Roman"/>
                <w:u w:val="single"/>
                <w:lang w:val="es"/>
              </w:rPr>
            </w:pPr>
            <w:r w:rsidRPr="001227E6">
              <w:rPr>
                <w:rFonts w:eastAsia="Times New Roman"/>
                <w:u w:val="single"/>
                <w:lang w:val="es"/>
              </w:rPr>
              <w:tab/>
            </w:r>
            <w:r w:rsidRPr="001227E6">
              <w:rPr>
                <w:rFonts w:eastAsia="Times New Roman"/>
                <w:u w:val="single"/>
                <w:lang w:val="es"/>
              </w:rPr>
              <w:tab/>
            </w:r>
            <w:r w:rsidRPr="001227E6">
              <w:rPr>
                <w:rFonts w:eastAsia="Times New Roman"/>
                <w:u w:val="single"/>
                <w:lang w:val="es"/>
              </w:rPr>
              <w:tab/>
            </w:r>
            <w:r w:rsidRPr="001227E6">
              <w:rPr>
                <w:rFonts w:eastAsia="Times New Roman"/>
                <w:u w:val="single"/>
                <w:lang w:val="es"/>
              </w:rPr>
              <w:tab/>
            </w:r>
          </w:p>
          <w:p w14:paraId="48D937F4" w14:textId="77777777" w:rsidR="00751AAF" w:rsidRPr="001227E6" w:rsidRDefault="00751AAF" w:rsidP="00F726D8">
            <w:pPr>
              <w:pStyle w:val="AONormal"/>
              <w:rPr>
                <w:rFonts w:eastAsia="Times New Roman"/>
                <w:b/>
                <w:lang w:val="es"/>
              </w:rPr>
            </w:pPr>
            <w:r w:rsidRPr="001227E6">
              <w:rPr>
                <w:lang w:val="es"/>
              </w:rPr>
              <w:t>[</w:t>
            </w:r>
            <w:r w:rsidRPr="001227E6">
              <w:rPr>
                <w:rFonts w:ascii="Wingdings" w:hAnsi="Wingdings"/>
                <w:lang w:val="es"/>
              </w:rPr>
              <w:sym w:font="Wingdings" w:char="F06C"/>
            </w:r>
            <w:r w:rsidRPr="001227E6">
              <w:rPr>
                <w:lang w:val="es"/>
              </w:rPr>
              <w:t>]</w:t>
            </w:r>
          </w:p>
        </w:tc>
        <w:tc>
          <w:tcPr>
            <w:tcW w:w="4874" w:type="dxa"/>
            <w:gridSpan w:val="2"/>
          </w:tcPr>
          <w:p w14:paraId="50445DD6" w14:textId="77777777" w:rsidR="00751AAF" w:rsidRPr="001227E6" w:rsidRDefault="00751AAF" w:rsidP="00F726D8">
            <w:pPr>
              <w:pStyle w:val="AODocTxt"/>
              <w:rPr>
                <w:rFonts w:eastAsia="Times New Roman"/>
                <w:b/>
                <w:lang w:val="es"/>
              </w:rPr>
            </w:pPr>
          </w:p>
        </w:tc>
      </w:tr>
    </w:tbl>
    <w:p w14:paraId="082AD89B" w14:textId="77777777" w:rsidR="004A1C24" w:rsidRPr="002A034E" w:rsidRDefault="004A1C24" w:rsidP="004A1C24">
      <w:pPr>
        <w:pStyle w:val="AOLocation"/>
        <w:widowControl w:val="0"/>
        <w:spacing w:before="240"/>
      </w:pPr>
    </w:p>
    <w:p w14:paraId="6EC45A51" w14:textId="77777777" w:rsidR="00844348" w:rsidRDefault="00844348">
      <w:pPr>
        <w:spacing w:line="260" w:lineRule="atLeast"/>
      </w:pPr>
      <w:r>
        <w:br w:type="page"/>
      </w:r>
    </w:p>
    <w:p w14:paraId="7DC9D57A" w14:textId="77777777" w:rsidR="00844348" w:rsidRDefault="00844348" w:rsidP="00413F1B">
      <w:pPr>
        <w:pStyle w:val="AOTitle"/>
      </w:pPr>
      <w:bookmarkStart w:id="187" w:name="_Ref68687137"/>
      <w:bookmarkStart w:id="188" w:name="_Ref448478321"/>
      <w:r>
        <w:lastRenderedPageBreak/>
        <w:t>ANEXO 1</w:t>
      </w:r>
    </w:p>
    <w:p w14:paraId="430F937E" w14:textId="77777777" w:rsidR="00844348" w:rsidRPr="00FB152D" w:rsidRDefault="00844348" w:rsidP="00413F1B">
      <w:pPr>
        <w:pStyle w:val="AOTitle"/>
      </w:pPr>
      <w:bookmarkStart w:id="189" w:name="_Toc94703340"/>
      <w:bookmarkEnd w:id="187"/>
      <w:r>
        <w:t>Cuentas Corrientes</w:t>
      </w:r>
      <w:bookmarkEnd w:id="189"/>
    </w:p>
    <w:p w14:paraId="479A3173" w14:textId="77777777" w:rsidR="00844348" w:rsidRDefault="00844348" w:rsidP="00413F1B">
      <w:pPr>
        <w:pStyle w:val="AOTitle"/>
      </w:pPr>
      <w:r>
        <w:t>/</w:t>
      </w:r>
    </w:p>
    <w:p w14:paraId="0167D91B" w14:textId="69FFEE66" w:rsidR="00844348" w:rsidRPr="005A069E" w:rsidRDefault="00844348" w:rsidP="00413F1B">
      <w:pPr>
        <w:pStyle w:val="AOTitle"/>
      </w:pPr>
      <w:bookmarkStart w:id="190" w:name="_Ref68687101"/>
      <w:r w:rsidRPr="005A069E">
        <w:t xml:space="preserve">Annex </w:t>
      </w:r>
      <w:bookmarkEnd w:id="188"/>
      <w:bookmarkEnd w:id="190"/>
      <w:r w:rsidR="00413F1B">
        <w:t>1</w:t>
      </w:r>
    </w:p>
    <w:p w14:paraId="08008980" w14:textId="77777777" w:rsidR="00844348" w:rsidRDefault="00844348" w:rsidP="00413F1B">
      <w:pPr>
        <w:pStyle w:val="AOTitle"/>
      </w:pPr>
      <w:bookmarkStart w:id="191" w:name="_Toc458084942"/>
      <w:bookmarkStart w:id="192" w:name="_Toc2973861"/>
      <w:bookmarkStart w:id="193" w:name="_Toc3203349"/>
      <w:bookmarkStart w:id="194" w:name="_Toc61513801"/>
      <w:bookmarkStart w:id="195" w:name="_Toc94703344"/>
      <w:r w:rsidRPr="005A069E">
        <w:t>Bank Accounts</w:t>
      </w:r>
      <w:bookmarkEnd w:id="191"/>
      <w:bookmarkEnd w:id="192"/>
      <w:bookmarkEnd w:id="193"/>
      <w:bookmarkEnd w:id="194"/>
      <w:bookmarkEnd w:id="195"/>
    </w:p>
    <w:p w14:paraId="139E5A70" w14:textId="77777777" w:rsidR="00844348" w:rsidRDefault="00844348" w:rsidP="00844348">
      <w:pPr>
        <w:pStyle w:val="AONormal"/>
        <w:rPr>
          <w:b/>
        </w:rPr>
      </w:pPr>
    </w:p>
    <w:p w14:paraId="3D0047FA" w14:textId="77777777" w:rsidR="00844348" w:rsidRPr="001564A3" w:rsidRDefault="00844348" w:rsidP="00844348">
      <w:pPr>
        <w:pStyle w:val="AONormal"/>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938"/>
        <w:gridCol w:w="2893"/>
        <w:gridCol w:w="2717"/>
      </w:tblGrid>
      <w:tr w:rsidR="00844348" w:rsidRPr="00CD7F22" w14:paraId="323CBB42" w14:textId="77777777" w:rsidTr="00F726D8">
        <w:trPr>
          <w:jc w:val="center"/>
        </w:trPr>
        <w:tc>
          <w:tcPr>
            <w:tcW w:w="1932" w:type="dxa"/>
            <w:shd w:val="clear" w:color="auto" w:fill="A6A6A6"/>
          </w:tcPr>
          <w:p w14:paraId="4ED61660" w14:textId="77777777" w:rsidR="00844348" w:rsidRPr="002C131F" w:rsidRDefault="00844348" w:rsidP="00F726D8">
            <w:pPr>
              <w:pStyle w:val="AODocTxt"/>
              <w:jc w:val="center"/>
              <w:rPr>
                <w:rFonts w:eastAsia="Times New Roman"/>
                <w:b/>
                <w:lang w:val="es"/>
              </w:rPr>
            </w:pPr>
            <w:proofErr w:type="spellStart"/>
            <w:r w:rsidRPr="002C131F">
              <w:rPr>
                <w:rFonts w:eastAsia="Times New Roman"/>
                <w:b/>
                <w:lang w:val="es"/>
              </w:rPr>
              <w:t>Pignorante</w:t>
            </w:r>
            <w:proofErr w:type="spellEnd"/>
            <w:r w:rsidRPr="002C131F">
              <w:rPr>
                <w:rFonts w:eastAsia="Times New Roman"/>
                <w:b/>
                <w:lang w:val="es"/>
              </w:rPr>
              <w:t xml:space="preserve"> / </w:t>
            </w:r>
            <w:proofErr w:type="spellStart"/>
            <w:r w:rsidRPr="002C131F">
              <w:rPr>
                <w:rFonts w:eastAsia="Times New Roman"/>
                <w:b/>
                <w:lang w:val="es"/>
              </w:rPr>
              <w:t>Pledgor</w:t>
            </w:r>
            <w:proofErr w:type="spellEnd"/>
          </w:p>
        </w:tc>
        <w:tc>
          <w:tcPr>
            <w:tcW w:w="1938" w:type="dxa"/>
            <w:shd w:val="clear" w:color="auto" w:fill="A6A6A6"/>
            <w:vAlign w:val="center"/>
          </w:tcPr>
          <w:p w14:paraId="06254D3A" w14:textId="77777777" w:rsidR="00844348" w:rsidRPr="002C131F" w:rsidRDefault="00844348" w:rsidP="00F726D8">
            <w:pPr>
              <w:pStyle w:val="AODocTxt"/>
              <w:jc w:val="center"/>
              <w:rPr>
                <w:rFonts w:eastAsia="Times New Roman"/>
                <w:b/>
                <w:lang w:val="es"/>
              </w:rPr>
            </w:pPr>
            <w:r w:rsidRPr="002C131F">
              <w:rPr>
                <w:rFonts w:eastAsia="Times New Roman"/>
                <w:b/>
                <w:lang w:val="es"/>
              </w:rPr>
              <w:t xml:space="preserve">Banco Depositario / </w:t>
            </w:r>
            <w:proofErr w:type="spellStart"/>
            <w:r w:rsidRPr="002C131F">
              <w:rPr>
                <w:rFonts w:eastAsia="Times New Roman"/>
                <w:b/>
                <w:lang w:val="es"/>
              </w:rPr>
              <w:t>Depositary</w:t>
            </w:r>
            <w:proofErr w:type="spellEnd"/>
            <w:r w:rsidRPr="002C131F">
              <w:rPr>
                <w:rFonts w:eastAsia="Times New Roman"/>
                <w:b/>
                <w:lang w:val="es"/>
              </w:rPr>
              <w:t xml:space="preserve"> Bank</w:t>
            </w:r>
          </w:p>
        </w:tc>
        <w:tc>
          <w:tcPr>
            <w:tcW w:w="1913" w:type="dxa"/>
            <w:shd w:val="clear" w:color="auto" w:fill="A6A6A6"/>
            <w:vAlign w:val="center"/>
          </w:tcPr>
          <w:p w14:paraId="60105035" w14:textId="77777777" w:rsidR="00844348" w:rsidRPr="002C131F" w:rsidRDefault="00844348" w:rsidP="00F726D8">
            <w:pPr>
              <w:pStyle w:val="AODocTxt"/>
              <w:jc w:val="center"/>
              <w:rPr>
                <w:rFonts w:eastAsia="Times New Roman"/>
                <w:b/>
                <w:lang w:val="es"/>
              </w:rPr>
            </w:pPr>
            <w:r w:rsidRPr="002C131F">
              <w:rPr>
                <w:rFonts w:eastAsia="Times New Roman"/>
                <w:b/>
                <w:lang w:val="es"/>
              </w:rPr>
              <w:t>Cuenta /</w:t>
            </w:r>
            <w:proofErr w:type="spellStart"/>
            <w:r w:rsidRPr="002C131F">
              <w:rPr>
                <w:rFonts w:eastAsia="Times New Roman"/>
                <w:b/>
                <w:lang w:val="es"/>
              </w:rPr>
              <w:t>Account</w:t>
            </w:r>
            <w:proofErr w:type="spellEnd"/>
          </w:p>
        </w:tc>
        <w:tc>
          <w:tcPr>
            <w:tcW w:w="2717" w:type="dxa"/>
            <w:shd w:val="clear" w:color="auto" w:fill="A6A6A6"/>
            <w:vAlign w:val="center"/>
          </w:tcPr>
          <w:p w14:paraId="6CE1EC8C" w14:textId="77777777" w:rsidR="00844348" w:rsidRPr="002C131F" w:rsidRDefault="00844348" w:rsidP="00F726D8">
            <w:pPr>
              <w:pStyle w:val="AODocTxt"/>
              <w:jc w:val="center"/>
              <w:rPr>
                <w:rFonts w:eastAsia="Times New Roman"/>
                <w:b/>
                <w:lang w:val="es"/>
              </w:rPr>
            </w:pPr>
            <w:r w:rsidRPr="002C131F">
              <w:rPr>
                <w:rFonts w:eastAsia="Times New Roman"/>
                <w:b/>
                <w:lang w:val="es"/>
              </w:rPr>
              <w:t xml:space="preserve">Datos a efectos de notificaciones / </w:t>
            </w:r>
            <w:proofErr w:type="spellStart"/>
            <w:r w:rsidRPr="002C131F">
              <w:rPr>
                <w:rFonts w:eastAsia="Times New Roman"/>
                <w:b/>
                <w:lang w:val="es"/>
              </w:rPr>
              <w:t>Notice</w:t>
            </w:r>
            <w:proofErr w:type="spellEnd"/>
            <w:r w:rsidRPr="002C131F">
              <w:rPr>
                <w:rFonts w:eastAsia="Times New Roman"/>
                <w:b/>
                <w:lang w:val="es"/>
              </w:rPr>
              <w:t xml:space="preserve"> </w:t>
            </w:r>
            <w:proofErr w:type="spellStart"/>
            <w:r w:rsidRPr="002C131F">
              <w:rPr>
                <w:rFonts w:eastAsia="Times New Roman"/>
                <w:b/>
                <w:lang w:val="es"/>
              </w:rPr>
              <w:t>details</w:t>
            </w:r>
            <w:proofErr w:type="spellEnd"/>
          </w:p>
        </w:tc>
      </w:tr>
      <w:tr w:rsidR="00844348" w:rsidRPr="00962702" w14:paraId="62E7C121" w14:textId="77777777" w:rsidTr="00F726D8">
        <w:trPr>
          <w:jc w:val="center"/>
        </w:trPr>
        <w:tc>
          <w:tcPr>
            <w:tcW w:w="1932" w:type="dxa"/>
            <w:shd w:val="clear" w:color="auto" w:fill="auto"/>
            <w:vAlign w:val="center"/>
          </w:tcPr>
          <w:p w14:paraId="5EE8AB51" w14:textId="77777777" w:rsidR="00844348" w:rsidRPr="002C131F" w:rsidRDefault="00844348" w:rsidP="00F726D8">
            <w:pPr>
              <w:pStyle w:val="AODocTxt"/>
              <w:jc w:val="center"/>
              <w:rPr>
                <w:bCs/>
                <w:lang w:val="es"/>
              </w:rPr>
            </w:pPr>
            <w:r w:rsidRPr="00E722E4">
              <w:rPr>
                <w:lang w:val="es-ES"/>
              </w:rPr>
              <w:t>B</w:t>
            </w:r>
            <w:r>
              <w:rPr>
                <w:lang w:val="es-ES"/>
              </w:rPr>
              <w:t>eacon</w:t>
            </w:r>
            <w:r w:rsidRPr="00E722E4">
              <w:rPr>
                <w:lang w:val="es-ES"/>
              </w:rPr>
              <w:t xml:space="preserve"> R</w:t>
            </w:r>
            <w:r>
              <w:rPr>
                <w:lang w:val="es-ES"/>
              </w:rPr>
              <w:t>ail</w:t>
            </w:r>
            <w:r w:rsidRPr="00E722E4">
              <w:rPr>
                <w:lang w:val="es-ES"/>
              </w:rPr>
              <w:t xml:space="preserve"> F</w:t>
            </w:r>
            <w:r>
              <w:rPr>
                <w:lang w:val="es-ES"/>
              </w:rPr>
              <w:t>inance</w:t>
            </w:r>
            <w:r w:rsidRPr="00E722E4">
              <w:rPr>
                <w:lang w:val="es-ES"/>
              </w:rPr>
              <w:t xml:space="preserve"> </w:t>
            </w:r>
            <w:r w:rsidRPr="00EF1053">
              <w:rPr>
                <w:lang w:val="es-ES"/>
              </w:rPr>
              <w:t>I</w:t>
            </w:r>
            <w:r>
              <w:rPr>
                <w:lang w:val="es-ES"/>
              </w:rPr>
              <w:t>beria</w:t>
            </w:r>
            <w:r w:rsidRPr="00EF1053">
              <w:rPr>
                <w:lang w:val="es-ES"/>
              </w:rPr>
              <w:t>, S.L.U.</w:t>
            </w:r>
            <w:r w:rsidRPr="002C131F">
              <w:rPr>
                <w:bCs/>
                <w:lang w:val="es"/>
              </w:rPr>
              <w:t xml:space="preserve"> </w:t>
            </w:r>
          </w:p>
        </w:tc>
        <w:tc>
          <w:tcPr>
            <w:tcW w:w="1938" w:type="dxa"/>
            <w:shd w:val="clear" w:color="auto" w:fill="auto"/>
            <w:vAlign w:val="center"/>
          </w:tcPr>
          <w:p w14:paraId="1F012230" w14:textId="77777777" w:rsidR="00844348" w:rsidRPr="002C131F" w:rsidRDefault="00844348" w:rsidP="00F726D8">
            <w:pPr>
              <w:pStyle w:val="AODocTxt"/>
              <w:jc w:val="center"/>
              <w:rPr>
                <w:lang w:val="es"/>
              </w:rPr>
            </w:pPr>
            <w:r w:rsidRPr="009B3148">
              <w:rPr>
                <w:lang w:val="es"/>
              </w:rPr>
              <w:t xml:space="preserve">ING Bank N.V., Sucursal en España </w:t>
            </w:r>
          </w:p>
        </w:tc>
        <w:tc>
          <w:tcPr>
            <w:tcW w:w="1913" w:type="dxa"/>
            <w:shd w:val="clear" w:color="auto" w:fill="auto"/>
            <w:vAlign w:val="center"/>
          </w:tcPr>
          <w:p w14:paraId="09894429" w14:textId="77777777" w:rsidR="00844348" w:rsidRPr="002C131F" w:rsidRDefault="00844348" w:rsidP="00F726D8">
            <w:pPr>
              <w:pStyle w:val="AODocTxt"/>
              <w:jc w:val="center"/>
              <w:rPr>
                <w:bCs/>
                <w:lang w:val="es"/>
              </w:rPr>
            </w:pPr>
            <w:r w:rsidRPr="009B3148">
              <w:rPr>
                <w:bCs/>
                <w:lang w:val="es"/>
              </w:rPr>
              <w:t xml:space="preserve">ES7614659000160001921809 </w:t>
            </w:r>
          </w:p>
        </w:tc>
        <w:tc>
          <w:tcPr>
            <w:tcW w:w="2717" w:type="dxa"/>
            <w:shd w:val="clear" w:color="auto" w:fill="auto"/>
            <w:vAlign w:val="center"/>
          </w:tcPr>
          <w:p w14:paraId="72089FA0" w14:textId="77777777" w:rsidR="00844348" w:rsidRPr="00AE4478" w:rsidRDefault="00844348" w:rsidP="00F726D8">
            <w:pPr>
              <w:pStyle w:val="AODocTxt"/>
              <w:rPr>
                <w:lang w:val="es"/>
              </w:rPr>
            </w:pPr>
            <w:proofErr w:type="spellStart"/>
            <w:r>
              <w:rPr>
                <w:lang w:val="es"/>
              </w:rPr>
              <w:t>Attn</w:t>
            </w:r>
            <w:proofErr w:type="spellEnd"/>
            <w:r>
              <w:rPr>
                <w:lang w:val="es"/>
              </w:rPr>
              <w:t xml:space="preserve">: </w:t>
            </w:r>
            <w:proofErr w:type="spellStart"/>
            <w:r w:rsidRPr="00AE4478">
              <w:rPr>
                <w:lang w:val="es"/>
              </w:rPr>
              <w:t>Wholesale</w:t>
            </w:r>
            <w:proofErr w:type="spellEnd"/>
            <w:r w:rsidRPr="00AE4478">
              <w:rPr>
                <w:lang w:val="es"/>
              </w:rPr>
              <w:t xml:space="preserve"> </w:t>
            </w:r>
            <w:proofErr w:type="spellStart"/>
            <w:r w:rsidRPr="00AE4478">
              <w:rPr>
                <w:lang w:val="es"/>
              </w:rPr>
              <w:t>Banking</w:t>
            </w:r>
            <w:proofErr w:type="spellEnd"/>
            <w:r w:rsidRPr="00AE4478">
              <w:rPr>
                <w:lang w:val="es"/>
              </w:rPr>
              <w:t xml:space="preserve"> – CSD</w:t>
            </w:r>
          </w:p>
          <w:p w14:paraId="4FE0A8F2" w14:textId="77777777" w:rsidR="00844348" w:rsidRPr="00AE4478" w:rsidRDefault="00844348" w:rsidP="00F726D8">
            <w:pPr>
              <w:pStyle w:val="AODocTxt"/>
              <w:rPr>
                <w:lang w:val="es"/>
              </w:rPr>
            </w:pPr>
            <w:r>
              <w:rPr>
                <w:lang w:val="es"/>
              </w:rPr>
              <w:t xml:space="preserve">C/ </w:t>
            </w:r>
            <w:proofErr w:type="spellStart"/>
            <w:r>
              <w:rPr>
                <w:lang w:val="es"/>
              </w:rPr>
              <w:t>Via</w:t>
            </w:r>
            <w:proofErr w:type="spellEnd"/>
            <w:r>
              <w:rPr>
                <w:lang w:val="es"/>
              </w:rPr>
              <w:t xml:space="preserve"> de los Poblados, 1F 28033 Madrid </w:t>
            </w:r>
            <w:r w:rsidRPr="00AE4478">
              <w:rPr>
                <w:lang w:val="es"/>
              </w:rPr>
              <w:t xml:space="preserve">Spain </w:t>
            </w:r>
          </w:p>
          <w:p w14:paraId="78BE3470" w14:textId="77777777" w:rsidR="00844348" w:rsidRPr="00415668" w:rsidRDefault="00844348" w:rsidP="00F726D8">
            <w:pPr>
              <w:pStyle w:val="AODocTxt"/>
              <w:rPr>
                <w:lang w:val="pt-PT"/>
              </w:rPr>
            </w:pPr>
            <w:r w:rsidRPr="00415668">
              <w:rPr>
                <w:lang w:val="pt-PT"/>
              </w:rPr>
              <w:t xml:space="preserve">Tel: +34 91 789 88 82 </w:t>
            </w:r>
          </w:p>
          <w:p w14:paraId="33EE9570" w14:textId="77777777" w:rsidR="00844348" w:rsidRPr="00415668" w:rsidRDefault="00844348" w:rsidP="00F726D8">
            <w:pPr>
              <w:pStyle w:val="AODocTxt"/>
              <w:rPr>
                <w:bCs/>
                <w:lang w:val="pt-PT"/>
              </w:rPr>
            </w:pPr>
            <w:r w:rsidRPr="00415668">
              <w:rPr>
                <w:lang w:val="pt-PT"/>
              </w:rPr>
              <w:t xml:space="preserve">E-mail: cs.es@ing.com  </w:t>
            </w:r>
          </w:p>
        </w:tc>
      </w:tr>
    </w:tbl>
    <w:p w14:paraId="6FE8E7DA" w14:textId="77777777" w:rsidR="00A4422A" w:rsidRPr="00415668" w:rsidRDefault="00A4422A" w:rsidP="004E1813">
      <w:pPr>
        <w:spacing w:line="260" w:lineRule="atLeast"/>
        <w:rPr>
          <w:lang w:val="pt-PT"/>
        </w:rPr>
      </w:pPr>
    </w:p>
    <w:sectPr w:rsidR="00A4422A" w:rsidRPr="00415668" w:rsidSect="008E0A09">
      <w:headerReference w:type="default" r:id="rId16"/>
      <w:footerReference w:type="default" r:id="rId17"/>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9292" w14:textId="77777777" w:rsidR="00640770" w:rsidRPr="00920631" w:rsidRDefault="00640770" w:rsidP="001E7139">
      <w:r w:rsidRPr="00920631">
        <w:separator/>
      </w:r>
    </w:p>
  </w:endnote>
  <w:endnote w:type="continuationSeparator" w:id="0">
    <w:p w14:paraId="462957E8" w14:textId="77777777" w:rsidR="00640770" w:rsidRPr="00920631" w:rsidRDefault="00640770"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BB0700" w14:paraId="4EEBF15F" w14:textId="77777777">
      <w:tc>
        <w:tcPr>
          <w:tcW w:w="5000" w:type="pct"/>
          <w:gridSpan w:val="3"/>
          <w:tcMar>
            <w:top w:w="170" w:type="dxa"/>
          </w:tcMar>
        </w:tcPr>
        <w:p w14:paraId="7F8C92E2" w14:textId="77777777" w:rsidR="00BB0700" w:rsidRDefault="00BB0700">
          <w:pPr>
            <w:pStyle w:val="AONormal8LBold"/>
          </w:pPr>
          <w:bookmarkStart w:id="6" w:name="bmkFooterFirstPrimaryDoc"/>
        </w:p>
      </w:tc>
    </w:tr>
    <w:tr w:rsidR="00BB0700" w14:paraId="1C2A241A" w14:textId="77777777">
      <w:tc>
        <w:tcPr>
          <w:tcW w:w="1665" w:type="pct"/>
        </w:tcPr>
        <w:p w14:paraId="4C979A5C" w14:textId="60386BAA" w:rsidR="00BB0700" w:rsidRDefault="00057276">
          <w:pPr>
            <w:pStyle w:val="AONormal8L"/>
          </w:pPr>
          <w:r>
            <w:t>0119761-0000002 UKO2: 2010401830.3</w:t>
          </w:r>
        </w:p>
      </w:tc>
      <w:tc>
        <w:tcPr>
          <w:tcW w:w="1667" w:type="pct"/>
        </w:tcPr>
        <w:p w14:paraId="6F0994E2" w14:textId="77777777" w:rsidR="00BB0700" w:rsidRDefault="00BB0700">
          <w:pPr>
            <w:pStyle w:val="AONormal8C"/>
          </w:pPr>
        </w:p>
      </w:tc>
      <w:tc>
        <w:tcPr>
          <w:tcW w:w="1667" w:type="pct"/>
        </w:tcPr>
        <w:p w14:paraId="5DA19DA8" w14:textId="77777777" w:rsidR="00BB0700" w:rsidRDefault="00BB0700">
          <w:pPr>
            <w:pStyle w:val="AONormal8R"/>
          </w:pPr>
        </w:p>
      </w:tc>
    </w:tr>
    <w:bookmarkEnd w:id="6"/>
  </w:tbl>
  <w:p w14:paraId="17B7CCC5" w14:textId="77777777" w:rsidR="00BB0700" w:rsidRDefault="00BB0700">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467"/>
      <w:gridCol w:w="4733"/>
      <w:gridCol w:w="2439"/>
    </w:tblGrid>
    <w:tr w:rsidR="00BB0700" w14:paraId="49A256A5" w14:textId="77777777">
      <w:tc>
        <w:tcPr>
          <w:tcW w:w="0" w:type="auto"/>
          <w:gridSpan w:val="3"/>
        </w:tcPr>
        <w:p w14:paraId="604BAF7B" w14:textId="77777777" w:rsidR="002166C4" w:rsidRPr="007743A9" w:rsidRDefault="002166C4" w:rsidP="002166C4">
          <w:pPr>
            <w:pStyle w:val="AONormal8C"/>
          </w:pPr>
          <w:bookmarkStart w:id="7" w:name="bmkFPAOLogo"/>
          <w:bookmarkEnd w:id="7"/>
          <w:r>
            <w:rPr>
              <w:noProof/>
            </w:rPr>
            <w:drawing>
              <wp:inline distT="0" distB="0" distL="0" distR="0" wp14:anchorId="7F78A17F" wp14:editId="51D884AA">
                <wp:extent cx="2191516" cy="167640"/>
                <wp:effectExtent l="0" t="0" r="0" b="3810"/>
                <wp:docPr id="374734048" name="Picture 1"/>
                <wp:cNvGraphicFramePr/>
                <a:graphic xmlns:a="http://schemas.openxmlformats.org/drawingml/2006/main">
                  <a:graphicData uri="http://schemas.openxmlformats.org/drawingml/2006/picture">
                    <pic:pic xmlns:pic="http://schemas.openxmlformats.org/drawingml/2006/picture">
                      <pic:nvPicPr>
                        <pic:cNvPr id="1072981050" name=""/>
                        <pic:cNvPicPr/>
                      </pic:nvPicPr>
                      <pic:blipFill>
                        <a:blip r:embed="rId1">
                          <a:extLst>
                            <a:ext uri="{28A0092B-C50C-407E-A947-70E740481C1C}">
                              <a14:useLocalDpi xmlns:a14="http://schemas.microsoft.com/office/drawing/2010/main" val="0"/>
                            </a:ext>
                          </a:extLst>
                        </a:blip>
                        <a:stretch>
                          <a:fillRect/>
                        </a:stretch>
                      </pic:blipFill>
                      <pic:spPr>
                        <a:xfrm>
                          <a:off x="0" y="0"/>
                          <a:ext cx="2191516" cy="167640"/>
                        </a:xfrm>
                        <a:prstGeom prst="rect">
                          <a:avLst/>
                        </a:prstGeom>
                      </pic:spPr>
                    </pic:pic>
                  </a:graphicData>
                </a:graphic>
              </wp:inline>
            </w:drawing>
          </w:r>
        </w:p>
        <w:p w14:paraId="5297ED0E" w14:textId="77777777" w:rsidR="002166C4" w:rsidRDefault="002166C4" w:rsidP="002166C4">
          <w:pPr>
            <w:pStyle w:val="AONormal8C"/>
          </w:pPr>
        </w:p>
        <w:p w14:paraId="296E1717" w14:textId="77777777" w:rsidR="002166C4" w:rsidRPr="007743A9" w:rsidRDefault="002166C4" w:rsidP="002166C4">
          <w:pPr>
            <w:pStyle w:val="AONormal8LBold"/>
            <w:jc w:val="center"/>
          </w:pPr>
          <w:bookmarkStart w:id="8" w:name="bmkFPOfficeTitle"/>
          <w:r>
            <w:t>Allen Overy Shearman Sterling</w:t>
          </w:r>
          <w:bookmarkEnd w:id="8"/>
        </w:p>
        <w:p w14:paraId="6CDBDC61" w14:textId="77777777" w:rsidR="00BB0700" w:rsidRDefault="00BB0700" w:rsidP="00D74069">
          <w:pPr>
            <w:pStyle w:val="AONormal8LBold"/>
            <w:jc w:val="center"/>
          </w:pPr>
        </w:p>
      </w:tc>
    </w:tr>
    <w:tr w:rsidR="00BB0700" w14:paraId="75A2A208" w14:textId="77777777">
      <w:tc>
        <w:tcPr>
          <w:tcW w:w="1280" w:type="pct"/>
        </w:tcPr>
        <w:p w14:paraId="73E2D6DF" w14:textId="77777777" w:rsidR="00BB0700" w:rsidRDefault="00BB0700">
          <w:pPr>
            <w:pStyle w:val="AONormal8L"/>
          </w:pPr>
        </w:p>
      </w:tc>
      <w:tc>
        <w:tcPr>
          <w:tcW w:w="2455" w:type="pct"/>
        </w:tcPr>
        <w:p w14:paraId="605A2E88" w14:textId="242538D6" w:rsidR="00BB0700" w:rsidRDefault="00057276" w:rsidP="00B53048">
          <w:pPr>
            <w:pStyle w:val="AONormal8C"/>
          </w:pPr>
          <w:r>
            <w:t>0119761-0000002 UKO2: 2010401830.3</w:t>
          </w:r>
        </w:p>
      </w:tc>
      <w:tc>
        <w:tcPr>
          <w:tcW w:w="1265" w:type="pct"/>
        </w:tcPr>
        <w:p w14:paraId="7EB80B9E" w14:textId="77777777" w:rsidR="00BB0700" w:rsidRDefault="00BB0700">
          <w:pPr>
            <w:pStyle w:val="AONormal8R"/>
          </w:pPr>
        </w:p>
      </w:tc>
    </w:tr>
  </w:tbl>
  <w:p w14:paraId="7B2F1400" w14:textId="77777777" w:rsidR="00BB0700" w:rsidRDefault="00BB0700">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C0B1" w14:textId="77777777" w:rsidR="00BB0700" w:rsidRDefault="00BB0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OHdrFtrTblStyle"/>
      <w:tblW w:w="5000" w:type="pct"/>
      <w:tblLayout w:type="fixed"/>
      <w:tblLook w:val="04A0" w:firstRow="1" w:lastRow="0" w:firstColumn="1" w:lastColumn="0" w:noHBand="0" w:noVBand="1"/>
    </w:tblPr>
    <w:tblGrid>
      <w:gridCol w:w="3210"/>
      <w:gridCol w:w="3213"/>
      <w:gridCol w:w="3215"/>
    </w:tblGrid>
    <w:tr w:rsidR="00BB0700" w:rsidRPr="00920631" w14:paraId="098703AA" w14:textId="77777777" w:rsidTr="00815059">
      <w:tc>
        <w:tcPr>
          <w:tcW w:w="5000" w:type="pct"/>
          <w:gridSpan w:val="3"/>
        </w:tcPr>
        <w:p w14:paraId="36DE4EEF" w14:textId="42EA7C97" w:rsidR="00BB0700" w:rsidRPr="00920631" w:rsidRDefault="00BB0700" w:rsidP="007D75EC">
          <w:pPr>
            <w:pStyle w:val="AONormal8LBold"/>
          </w:pPr>
          <w:bookmarkStart w:id="170" w:name="bmkFooterPrimaryDoc"/>
        </w:p>
      </w:tc>
    </w:tr>
    <w:tr w:rsidR="00BB0700" w:rsidRPr="00920631" w14:paraId="1C31E640" w14:textId="77777777" w:rsidTr="00815059">
      <w:tc>
        <w:tcPr>
          <w:tcW w:w="1665" w:type="pct"/>
        </w:tcPr>
        <w:p w14:paraId="1BA44642" w14:textId="661BF45A" w:rsidR="00BB0700" w:rsidRPr="00920631" w:rsidRDefault="00057276" w:rsidP="007D75EC">
          <w:pPr>
            <w:pStyle w:val="AONormal8L"/>
          </w:pPr>
          <w:r>
            <w:t>0119761-0000002 UKO2: 2010401830.3</w:t>
          </w:r>
        </w:p>
      </w:tc>
      <w:tc>
        <w:tcPr>
          <w:tcW w:w="1667" w:type="pct"/>
        </w:tcPr>
        <w:p w14:paraId="08281FFB" w14:textId="764D5FEE" w:rsidR="00BB0700" w:rsidRPr="00920631" w:rsidRDefault="00BB0700" w:rsidP="007D75EC">
          <w:pPr>
            <w:pStyle w:val="AONormal8C"/>
          </w:pPr>
          <w:r w:rsidRPr="00920631">
            <w:fldChar w:fldCharType="begin"/>
          </w:r>
          <w:r w:rsidRPr="00920631">
            <w:instrText xml:space="preserve"> PAGE</w:instrText>
          </w:r>
          <w:r>
            <w:instrText xml:space="preserve"> </w:instrText>
          </w:r>
          <w:r w:rsidRPr="00920631">
            <w:fldChar w:fldCharType="separate"/>
          </w:r>
          <w:r w:rsidR="00137772">
            <w:rPr>
              <w:noProof/>
            </w:rPr>
            <w:t>40</w:t>
          </w:r>
          <w:r w:rsidRPr="00920631">
            <w:fldChar w:fldCharType="end"/>
          </w:r>
        </w:p>
      </w:tc>
      <w:tc>
        <w:tcPr>
          <w:tcW w:w="1667" w:type="pct"/>
        </w:tcPr>
        <w:p w14:paraId="065F9709" w14:textId="77777777" w:rsidR="00BB0700" w:rsidRPr="00920631" w:rsidRDefault="00BB0700" w:rsidP="007D75EC">
          <w:pPr>
            <w:pStyle w:val="AONormal8R"/>
          </w:pPr>
        </w:p>
      </w:tc>
    </w:tr>
    <w:bookmarkEnd w:id="170"/>
  </w:tbl>
  <w:p w14:paraId="415ADEA5" w14:textId="77777777" w:rsidR="00BB0700" w:rsidRPr="00920631" w:rsidRDefault="00BB0700" w:rsidP="008C14D4">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OHdrFtrTblStyle"/>
      <w:tblW w:w="5000" w:type="pct"/>
      <w:tblLook w:val="04A0" w:firstRow="1" w:lastRow="0" w:firstColumn="1" w:lastColumn="0" w:noHBand="0" w:noVBand="1"/>
    </w:tblPr>
    <w:tblGrid>
      <w:gridCol w:w="3212"/>
      <w:gridCol w:w="3213"/>
      <w:gridCol w:w="3213"/>
    </w:tblGrid>
    <w:tr w:rsidR="00BB0700" w14:paraId="6CAB6B50" w14:textId="77777777" w:rsidTr="00815059">
      <w:tc>
        <w:tcPr>
          <w:tcW w:w="5000" w:type="pct"/>
          <w:gridSpan w:val="3"/>
        </w:tcPr>
        <w:p w14:paraId="29D85E6E" w14:textId="3B591BAF" w:rsidR="00BB0700" w:rsidRDefault="00BB0700" w:rsidP="005D5CB3">
          <w:pPr>
            <w:pStyle w:val="AONormal8LBold"/>
          </w:pPr>
        </w:p>
      </w:tc>
    </w:tr>
    <w:tr w:rsidR="00BB0700" w14:paraId="19979AAB" w14:textId="77777777" w:rsidTr="00815059">
      <w:tc>
        <w:tcPr>
          <w:tcW w:w="1666" w:type="pct"/>
        </w:tcPr>
        <w:p w14:paraId="0740D59A" w14:textId="4B2B5802" w:rsidR="00BB0700" w:rsidRDefault="00057276" w:rsidP="005D5CB3">
          <w:pPr>
            <w:pStyle w:val="AONormal8L"/>
          </w:pPr>
          <w:r>
            <w:t>0119761-0000002 UKO2: 2010401830.3</w:t>
          </w:r>
        </w:p>
      </w:tc>
      <w:tc>
        <w:tcPr>
          <w:tcW w:w="1667" w:type="pct"/>
        </w:tcPr>
        <w:p w14:paraId="5D4F1A09" w14:textId="7A57510C" w:rsidR="00BB0700" w:rsidRDefault="00BB0700" w:rsidP="005D5CB3">
          <w:pPr>
            <w:pStyle w:val="AONormal8C"/>
          </w:pPr>
          <w:r>
            <w:fldChar w:fldCharType="begin"/>
          </w:r>
          <w:r>
            <w:instrText xml:space="preserve"> PAGE  \* Arabic  \* MERGEFORMAT </w:instrText>
          </w:r>
          <w:r>
            <w:fldChar w:fldCharType="separate"/>
          </w:r>
          <w:r w:rsidR="00911A1F">
            <w:rPr>
              <w:noProof/>
            </w:rPr>
            <w:t>45</w:t>
          </w:r>
          <w:r>
            <w:fldChar w:fldCharType="end"/>
          </w:r>
        </w:p>
      </w:tc>
      <w:tc>
        <w:tcPr>
          <w:tcW w:w="1667" w:type="pct"/>
        </w:tcPr>
        <w:p w14:paraId="3EA6A1BD" w14:textId="77777777" w:rsidR="00BB0700" w:rsidRDefault="00BB0700" w:rsidP="005D5CB3">
          <w:pPr>
            <w:pStyle w:val="AONormal8R"/>
          </w:pPr>
        </w:p>
      </w:tc>
    </w:tr>
  </w:tbl>
  <w:p w14:paraId="68153EC7" w14:textId="77777777" w:rsidR="00BB0700" w:rsidRDefault="00BB07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OHdrFtrTblStyle"/>
      <w:tblW w:w="5000" w:type="pct"/>
      <w:tblLayout w:type="fixed"/>
      <w:tblLook w:val="04A0" w:firstRow="1" w:lastRow="0" w:firstColumn="1" w:lastColumn="0" w:noHBand="0" w:noVBand="1"/>
    </w:tblPr>
    <w:tblGrid>
      <w:gridCol w:w="3210"/>
      <w:gridCol w:w="3213"/>
      <w:gridCol w:w="3215"/>
    </w:tblGrid>
    <w:tr w:rsidR="00137772" w:rsidRPr="00920631" w14:paraId="5DF8C8F5" w14:textId="77777777" w:rsidTr="00815059">
      <w:tc>
        <w:tcPr>
          <w:tcW w:w="5000" w:type="pct"/>
          <w:gridSpan w:val="3"/>
        </w:tcPr>
        <w:p w14:paraId="39B132DB" w14:textId="16DBF97F" w:rsidR="00137772" w:rsidRPr="00920631" w:rsidRDefault="00137772" w:rsidP="007D75EC">
          <w:pPr>
            <w:pStyle w:val="AONormal8LBold"/>
          </w:pPr>
        </w:p>
      </w:tc>
    </w:tr>
    <w:tr w:rsidR="00137772" w:rsidRPr="00920631" w14:paraId="19CAE9B8" w14:textId="77777777" w:rsidTr="00815059">
      <w:tc>
        <w:tcPr>
          <w:tcW w:w="1665" w:type="pct"/>
        </w:tcPr>
        <w:p w14:paraId="2C425132" w14:textId="4B4690BA" w:rsidR="00137772" w:rsidRPr="00920631" w:rsidRDefault="00057276" w:rsidP="007D75EC">
          <w:pPr>
            <w:pStyle w:val="AONormal8L"/>
          </w:pPr>
          <w:r>
            <w:t>0119761-0000002 UKO2: 2010401830.3</w:t>
          </w:r>
        </w:p>
      </w:tc>
      <w:tc>
        <w:tcPr>
          <w:tcW w:w="1667" w:type="pct"/>
        </w:tcPr>
        <w:p w14:paraId="0731BE1D" w14:textId="6F060A59" w:rsidR="00137772" w:rsidRPr="00920631" w:rsidRDefault="00137772" w:rsidP="007D75EC">
          <w:pPr>
            <w:pStyle w:val="AONormal8C"/>
          </w:pPr>
          <w:r w:rsidRPr="00920631">
            <w:fldChar w:fldCharType="begin"/>
          </w:r>
          <w:r w:rsidRPr="00920631">
            <w:instrText xml:space="preserve"> PAGE</w:instrText>
          </w:r>
          <w:r>
            <w:instrText xml:space="preserve"> </w:instrText>
          </w:r>
          <w:r w:rsidRPr="00920631">
            <w:fldChar w:fldCharType="separate"/>
          </w:r>
          <w:r>
            <w:rPr>
              <w:noProof/>
            </w:rPr>
            <w:t>42</w:t>
          </w:r>
          <w:r w:rsidRPr="00920631">
            <w:fldChar w:fldCharType="end"/>
          </w:r>
        </w:p>
      </w:tc>
      <w:tc>
        <w:tcPr>
          <w:tcW w:w="1667" w:type="pct"/>
        </w:tcPr>
        <w:p w14:paraId="1A5714F0" w14:textId="77777777" w:rsidR="00137772" w:rsidRPr="00920631" w:rsidRDefault="00137772" w:rsidP="007D75EC">
          <w:pPr>
            <w:pStyle w:val="AONormal8R"/>
          </w:pPr>
        </w:p>
      </w:tc>
    </w:tr>
  </w:tbl>
  <w:p w14:paraId="187509F8" w14:textId="77777777" w:rsidR="00137772" w:rsidRPr="00920631" w:rsidRDefault="00137772" w:rsidP="008C14D4">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3B12D" w14:textId="77777777" w:rsidR="00640770" w:rsidRPr="00920631" w:rsidRDefault="00640770" w:rsidP="001E7139">
      <w:r w:rsidRPr="00920631">
        <w:separator/>
      </w:r>
    </w:p>
  </w:footnote>
  <w:footnote w:type="continuationSeparator" w:id="0">
    <w:p w14:paraId="4502AFA9" w14:textId="77777777" w:rsidR="00640770" w:rsidRPr="00920631" w:rsidRDefault="00640770"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9B4F" w14:textId="2387FCF2" w:rsidR="00515A5E" w:rsidRPr="00AD63BA" w:rsidRDefault="00AD63BA">
    <w:pPr>
      <w:pStyle w:val="Header"/>
      <w:rPr>
        <w:b/>
        <w:bCs/>
        <w:i/>
        <w:iCs/>
      </w:rPr>
    </w:pPr>
    <w:r w:rsidRPr="00AD63BA">
      <w:rPr>
        <w:b/>
        <w:bCs/>
        <w:i/>
        <w:iCs/>
      </w:rPr>
      <w:t>AOS Draft (3): 03/06/2025</w:t>
    </w:r>
  </w:p>
  <w:p w14:paraId="0F9422AD" w14:textId="2B4641EC" w:rsidR="00AD63BA" w:rsidRPr="00AD63BA" w:rsidRDefault="00AD63BA">
    <w:pPr>
      <w:pStyle w:val="Header"/>
      <w:rPr>
        <w:b/>
        <w:bCs/>
        <w:i/>
        <w:iCs/>
      </w:rPr>
    </w:pPr>
    <w:r w:rsidRPr="00AD63BA">
      <w:rPr>
        <w:b/>
        <w:bCs/>
        <w:i/>
        <w:iCs/>
      </w:rPr>
      <w:t>[N.B. Subject to review and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6C29" w14:textId="77777777" w:rsidR="00BB0700" w:rsidRDefault="00BB0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OHdrFtrTblStyle"/>
      <w:tblW w:w="5000" w:type="pct"/>
      <w:tblLayout w:type="fixed"/>
      <w:tblLook w:val="04A0" w:firstRow="1" w:lastRow="0" w:firstColumn="1" w:lastColumn="0" w:noHBand="0" w:noVBand="1"/>
    </w:tblPr>
    <w:tblGrid>
      <w:gridCol w:w="9639"/>
    </w:tblGrid>
    <w:tr w:rsidR="00BB0700" w:rsidRPr="00920631" w14:paraId="3FF1504D" w14:textId="77777777" w:rsidTr="00815059">
      <w:tc>
        <w:tcPr>
          <w:tcW w:w="5000" w:type="pct"/>
        </w:tcPr>
        <w:p w14:paraId="6E0B3B5D" w14:textId="5BEE0DD2" w:rsidR="00BB0700" w:rsidRPr="00920631" w:rsidRDefault="00BB0700" w:rsidP="0045533C">
          <w:pPr>
            <w:pStyle w:val="AONormal8LBold"/>
          </w:pPr>
        </w:p>
      </w:tc>
    </w:tr>
  </w:tbl>
  <w:p w14:paraId="27A27B02" w14:textId="77777777" w:rsidR="00BB0700" w:rsidRPr="00920631" w:rsidRDefault="00BB0700" w:rsidP="00B53048">
    <w:pPr>
      <w:pStyle w:val="AONormal8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OHdrFtrTblStyle"/>
      <w:tblW w:w="0" w:type="auto"/>
      <w:tblLook w:val="04A0" w:firstRow="1" w:lastRow="0" w:firstColumn="1" w:lastColumn="0" w:noHBand="0" w:noVBand="1"/>
    </w:tblPr>
    <w:tblGrid>
      <w:gridCol w:w="9638"/>
    </w:tblGrid>
    <w:tr w:rsidR="00BB0700" w14:paraId="741F8740" w14:textId="77777777" w:rsidTr="00815059">
      <w:tc>
        <w:tcPr>
          <w:tcW w:w="9854" w:type="dxa"/>
        </w:tcPr>
        <w:p w14:paraId="14AAB647" w14:textId="15425F78" w:rsidR="00BB0700" w:rsidRDefault="00BB0700" w:rsidP="005D5CB3">
          <w:pPr>
            <w:pStyle w:val="AONormal8LBold"/>
          </w:pPr>
          <w:bookmarkStart w:id="171" w:name="bmkHeaderPrimaryDoc"/>
        </w:p>
      </w:tc>
    </w:tr>
    <w:bookmarkEnd w:id="171"/>
  </w:tbl>
  <w:p w14:paraId="78948AB2" w14:textId="77777777" w:rsidR="00BB0700" w:rsidRDefault="00BB0700" w:rsidP="005D5CB3">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OHdrFtrTblStyle"/>
      <w:tblW w:w="5000" w:type="pct"/>
      <w:tblLayout w:type="fixed"/>
      <w:tblLook w:val="04A0" w:firstRow="1" w:lastRow="0" w:firstColumn="1" w:lastColumn="0" w:noHBand="0" w:noVBand="1"/>
    </w:tblPr>
    <w:tblGrid>
      <w:gridCol w:w="9639"/>
    </w:tblGrid>
    <w:tr w:rsidR="00137772" w:rsidRPr="00920631" w14:paraId="08067099" w14:textId="77777777" w:rsidTr="00815059">
      <w:tc>
        <w:tcPr>
          <w:tcW w:w="5000" w:type="pct"/>
        </w:tcPr>
        <w:p w14:paraId="39F85CA1" w14:textId="71B41E60" w:rsidR="00137772" w:rsidRPr="00920631" w:rsidRDefault="00137772" w:rsidP="0045533C">
          <w:pPr>
            <w:pStyle w:val="AONormal8LBold"/>
          </w:pPr>
        </w:p>
      </w:tc>
    </w:tr>
  </w:tbl>
  <w:p w14:paraId="7A1A4477" w14:textId="77777777" w:rsidR="00137772" w:rsidRPr="00920631" w:rsidRDefault="00137772" w:rsidP="00B53048">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621F"/>
    <w:multiLevelType w:val="multilevel"/>
    <w:tmpl w:val="66EC0534"/>
    <w:lvl w:ilvl="0">
      <w:start w:val="1"/>
      <w:numFmt w:val="decimal"/>
      <w:pStyle w:val="Column2L1"/>
      <w:lvlText w:val="%1."/>
      <w:lvlJc w:val="left"/>
      <w:pPr>
        <w:tabs>
          <w:tab w:val="num" w:pos="720"/>
        </w:tabs>
        <w:ind w:left="720" w:hanging="720"/>
      </w:pPr>
      <w:rPr>
        <w:rFonts w:hint="default"/>
        <w:b/>
        <w:i w:val="0"/>
        <w:caps w:val="0"/>
        <w:u w:val="none"/>
      </w:rPr>
    </w:lvl>
    <w:lvl w:ilvl="1">
      <w:start w:val="1"/>
      <w:numFmt w:val="decimal"/>
      <w:pStyle w:val="Column2L2"/>
      <w:lvlText w:val="%1.%2"/>
      <w:lvlJc w:val="left"/>
      <w:pPr>
        <w:tabs>
          <w:tab w:val="num" w:pos="720"/>
        </w:tabs>
        <w:ind w:left="720" w:hanging="720"/>
      </w:pPr>
      <w:rPr>
        <w:rFonts w:hint="default"/>
        <w:b w:val="0"/>
        <w:i w:val="0"/>
        <w:caps w:val="0"/>
        <w:u w:val="none"/>
      </w:rPr>
    </w:lvl>
    <w:lvl w:ilvl="2">
      <w:start w:val="1"/>
      <w:numFmt w:val="lowerLetter"/>
      <w:pStyle w:val="Column2L3"/>
      <w:lvlText w:val="(%3)"/>
      <w:lvlJc w:val="left"/>
      <w:pPr>
        <w:tabs>
          <w:tab w:val="num" w:pos="1440"/>
        </w:tabs>
        <w:ind w:left="1440" w:hanging="720"/>
      </w:pPr>
      <w:rPr>
        <w:rFonts w:hint="default"/>
        <w:b w:val="0"/>
        <w:i w:val="0"/>
        <w:caps w:val="0"/>
        <w:sz w:val="22"/>
        <w:u w:val="none"/>
      </w:rPr>
    </w:lvl>
    <w:lvl w:ilvl="3">
      <w:start w:val="1"/>
      <w:numFmt w:val="lowerRoman"/>
      <w:pStyle w:val="Column2L4"/>
      <w:lvlText w:val="(%4)"/>
      <w:lvlJc w:val="left"/>
      <w:pPr>
        <w:tabs>
          <w:tab w:val="num" w:pos="2160"/>
        </w:tabs>
        <w:ind w:left="2160" w:hanging="720"/>
      </w:pPr>
      <w:rPr>
        <w:rFonts w:hint="default"/>
        <w:b w:val="0"/>
        <w:i w:val="0"/>
        <w:caps w:val="0"/>
        <w:u w:val="none"/>
      </w:rPr>
    </w:lvl>
    <w:lvl w:ilvl="4">
      <w:start w:val="1"/>
      <w:numFmt w:val="upperLetter"/>
      <w:pStyle w:val="Column2L5"/>
      <w:lvlText w:val="(%5)"/>
      <w:lvlJc w:val="left"/>
      <w:pPr>
        <w:tabs>
          <w:tab w:val="num" w:pos="2880"/>
        </w:tabs>
        <w:ind w:left="2880" w:hanging="720"/>
      </w:pPr>
      <w:rPr>
        <w:rFonts w:hint="default"/>
        <w:b w:val="0"/>
        <w:i w:val="0"/>
        <w:caps w:val="0"/>
        <w:u w:val="none"/>
      </w:rPr>
    </w:lvl>
    <w:lvl w:ilvl="5">
      <w:start w:val="1"/>
      <w:numFmt w:val="upperRoman"/>
      <w:pStyle w:val="Column2L6"/>
      <w:lvlText w:val="(%6)"/>
      <w:lvlJc w:val="left"/>
      <w:pPr>
        <w:tabs>
          <w:tab w:val="num" w:pos="3600"/>
        </w:tabs>
        <w:ind w:left="3600" w:hanging="720"/>
      </w:pPr>
      <w:rPr>
        <w:rFonts w:hint="default"/>
        <w:b w:val="0"/>
        <w:i w:val="0"/>
        <w:caps w:val="0"/>
        <w:u w:val="none"/>
      </w:rPr>
    </w:lvl>
    <w:lvl w:ilvl="6">
      <w:start w:val="27"/>
      <w:numFmt w:val="lowerLetter"/>
      <w:pStyle w:val="Column2L7"/>
      <w:lvlText w:val="(%7)"/>
      <w:lvlJc w:val="left"/>
      <w:pPr>
        <w:tabs>
          <w:tab w:val="num" w:pos="4320"/>
        </w:tabs>
        <w:ind w:left="4320" w:hanging="720"/>
      </w:pPr>
      <w:rPr>
        <w:rFonts w:hint="default"/>
        <w:b w:val="0"/>
        <w:i w:val="0"/>
        <w:caps w:val="0"/>
        <w:u w:val="none"/>
      </w:rPr>
    </w:lvl>
    <w:lvl w:ilvl="7">
      <w:start w:val="1"/>
      <w:numFmt w:val="bullet"/>
      <w:lvlRestart w:val="0"/>
      <w:pStyle w:val="Column2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Column2L9"/>
      <w:lvlText w:val="·"/>
      <w:lvlJc w:val="left"/>
      <w:pPr>
        <w:tabs>
          <w:tab w:val="num" w:pos="1440"/>
        </w:tabs>
        <w:ind w:left="1440" w:hanging="720"/>
      </w:pPr>
      <w:rPr>
        <w:rFonts w:ascii="Symbol" w:hAnsi="Symbol" w:hint="default"/>
        <w:b w:val="0"/>
        <w:i w:val="0"/>
        <w:caps w:val="0"/>
        <w:u w:val="none"/>
      </w:rPr>
    </w:lvl>
  </w:abstractNum>
  <w:abstractNum w:abstractNumId="1"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EBC794D"/>
    <w:multiLevelType w:val="multilevel"/>
    <w:tmpl w:val="49DE60EC"/>
    <w:lvl w:ilvl="0">
      <w:start w:val="1"/>
      <w:numFmt w:val="decimal"/>
      <w:pStyle w:val="Firm3L1"/>
      <w:lvlText w:val="%1."/>
      <w:lvlJc w:val="left"/>
      <w:pPr>
        <w:tabs>
          <w:tab w:val="num" w:pos="720"/>
        </w:tabs>
        <w:ind w:left="720" w:hanging="720"/>
      </w:pPr>
      <w:rPr>
        <w:rFonts w:hint="default"/>
        <w:b/>
        <w:i w:val="0"/>
        <w:caps w:val="0"/>
        <w:u w:val="none"/>
      </w:rPr>
    </w:lvl>
    <w:lvl w:ilvl="1">
      <w:start w:val="1"/>
      <w:numFmt w:val="decimal"/>
      <w:pStyle w:val="Firm3L2"/>
      <w:lvlText w:val="%1.%2"/>
      <w:lvlJc w:val="left"/>
      <w:pPr>
        <w:tabs>
          <w:tab w:val="num" w:pos="720"/>
        </w:tabs>
        <w:ind w:left="720" w:hanging="720"/>
      </w:pPr>
      <w:rPr>
        <w:rFonts w:hint="default"/>
        <w:b w:val="0"/>
        <w:i w:val="0"/>
        <w:caps w:val="0"/>
        <w:color w:val="auto"/>
        <w:sz w:val="24"/>
        <w:szCs w:val="21"/>
        <w:u w:val="none"/>
      </w:rPr>
    </w:lvl>
    <w:lvl w:ilvl="2">
      <w:start w:val="1"/>
      <w:numFmt w:val="lowerLetter"/>
      <w:pStyle w:val="Firm3L3"/>
      <w:lvlText w:val="(%3)"/>
      <w:lvlJc w:val="left"/>
      <w:pPr>
        <w:tabs>
          <w:tab w:val="num" w:pos="1440"/>
        </w:tabs>
        <w:ind w:left="1440" w:hanging="720"/>
      </w:pPr>
      <w:rPr>
        <w:rFonts w:hint="default"/>
        <w:b w:val="0"/>
        <w:i w:val="0"/>
        <w:caps w:val="0"/>
        <w:sz w:val="24"/>
        <w:szCs w:val="22"/>
        <w:u w:val="none"/>
      </w:rPr>
    </w:lvl>
    <w:lvl w:ilvl="3">
      <w:start w:val="1"/>
      <w:numFmt w:val="lowerRoman"/>
      <w:pStyle w:val="Firm3L4"/>
      <w:lvlText w:val="(%4)"/>
      <w:lvlJc w:val="left"/>
      <w:pPr>
        <w:tabs>
          <w:tab w:val="num" w:pos="2160"/>
        </w:tabs>
        <w:ind w:left="2160" w:hanging="720"/>
      </w:pPr>
      <w:rPr>
        <w:rFonts w:hint="default"/>
        <w:b w:val="0"/>
        <w:i w:val="0"/>
        <w:caps w:val="0"/>
        <w:u w:val="none"/>
      </w:rPr>
    </w:lvl>
    <w:lvl w:ilvl="4">
      <w:start w:val="1"/>
      <w:numFmt w:val="upperLetter"/>
      <w:pStyle w:val="Firm3L5"/>
      <w:lvlText w:val="(%5)"/>
      <w:lvlJc w:val="left"/>
      <w:pPr>
        <w:tabs>
          <w:tab w:val="num" w:pos="2880"/>
        </w:tabs>
        <w:ind w:left="2880" w:hanging="720"/>
      </w:pPr>
      <w:rPr>
        <w:rFonts w:hint="default"/>
        <w:b w:val="0"/>
        <w:i w:val="0"/>
        <w:caps w:val="0"/>
        <w:u w:val="none"/>
      </w:rPr>
    </w:lvl>
    <w:lvl w:ilvl="5">
      <w:start w:val="1"/>
      <w:numFmt w:val="upperRoman"/>
      <w:pStyle w:val="Firm3L6"/>
      <w:lvlText w:val="(%6)"/>
      <w:lvlJc w:val="left"/>
      <w:pPr>
        <w:tabs>
          <w:tab w:val="num" w:pos="3600"/>
        </w:tabs>
        <w:ind w:left="3600" w:hanging="720"/>
      </w:pPr>
      <w:rPr>
        <w:rFonts w:hint="default"/>
        <w:b w:val="0"/>
        <w:i w:val="0"/>
        <w:caps w:val="0"/>
        <w:u w:val="none"/>
      </w:rPr>
    </w:lvl>
    <w:lvl w:ilvl="6">
      <w:start w:val="27"/>
      <w:numFmt w:val="lowerLetter"/>
      <w:pStyle w:val="Firm3L7"/>
      <w:lvlText w:val="(%7)"/>
      <w:lvlJc w:val="left"/>
      <w:pPr>
        <w:tabs>
          <w:tab w:val="num" w:pos="4320"/>
        </w:tabs>
        <w:ind w:left="4320" w:hanging="720"/>
      </w:pPr>
      <w:rPr>
        <w:rFonts w:hint="default"/>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3" w15:restartNumberingAfterBreak="0">
    <w:nsid w:val="10F37ADE"/>
    <w:multiLevelType w:val="multilevel"/>
    <w:tmpl w:val="44DE6E2C"/>
    <w:name w:val="AOListNumberList"/>
    <w:lvl w:ilvl="0">
      <w:start w:val="1"/>
      <w:numFmt w:val="decimal"/>
      <w:lvlRestart w:val="0"/>
      <w:pStyle w:val="AOListNumber"/>
      <w:lvlText w:val="%1."/>
      <w:lvlJc w:val="left"/>
      <w:pPr>
        <w:tabs>
          <w:tab w:val="num" w:pos="720"/>
        </w:tabs>
        <w:ind w:left="720" w:hanging="720"/>
      </w:pPr>
      <w:rPr>
        <w:rFonts w:hint="default"/>
      </w:rPr>
    </w:lvl>
    <w:lvl w:ilvl="1">
      <w:start w:val="1"/>
      <w:numFmt w:val="lowerLetter"/>
      <w:pStyle w:val="AOListNumberL2"/>
      <w:lvlText w:val="(%2)"/>
      <w:lvlJc w:val="left"/>
      <w:pPr>
        <w:tabs>
          <w:tab w:val="num" w:pos="720"/>
        </w:tabs>
        <w:ind w:left="720" w:hanging="720"/>
      </w:pPr>
      <w:rPr>
        <w:rFonts w:hint="default"/>
      </w:rPr>
    </w:lvl>
    <w:lvl w:ilvl="2">
      <w:start w:val="1"/>
      <w:numFmt w:val="lowerRoman"/>
      <w:pStyle w:val="AOListNumberL3"/>
      <w:lvlText w:val="(%3)"/>
      <w:lvlJc w:val="left"/>
      <w:pPr>
        <w:tabs>
          <w:tab w:val="num" w:pos="1440"/>
        </w:tabs>
        <w:ind w:left="1440" w:hanging="720"/>
      </w:pPr>
      <w:rPr>
        <w:rFonts w:hint="default"/>
      </w:rPr>
    </w:lvl>
    <w:lvl w:ilvl="3">
      <w:start w:val="1"/>
      <w:numFmt w:val="upperLetter"/>
      <w:pStyle w:val="AOListNumberL4"/>
      <w:lvlText w:val="(%4)"/>
      <w:lvlJc w:val="left"/>
      <w:pPr>
        <w:tabs>
          <w:tab w:val="num" w:pos="2160"/>
        </w:tabs>
        <w:ind w:left="2160" w:hanging="720"/>
      </w:pPr>
      <w:rPr>
        <w:rFonts w:hint="default"/>
      </w:rPr>
    </w:lvl>
    <w:lvl w:ilvl="4">
      <w:start w:val="1"/>
      <w:numFmt w:val="upperRoman"/>
      <w:pStyle w:val="AOListNumberL5"/>
      <w:lvlText w:val="%5."/>
      <w:lvlJc w:val="left"/>
      <w:pPr>
        <w:tabs>
          <w:tab w:val="num" w:pos="2880"/>
        </w:tabs>
        <w:ind w:left="2880" w:hanging="720"/>
      </w:pPr>
      <w:rPr>
        <w:rFonts w:hint="default"/>
      </w:rPr>
    </w:lvl>
    <w:lvl w:ilvl="5">
      <w:start w:val="1"/>
      <w:numFmt w:val="lowerLetter"/>
      <w:pStyle w:val="AOListNumberL6"/>
      <w:lvlText w:val="(%6)"/>
      <w:lvlJc w:val="left"/>
      <w:pPr>
        <w:tabs>
          <w:tab w:val="num" w:pos="1440"/>
        </w:tabs>
        <w:ind w:left="1440" w:hanging="720"/>
      </w:pPr>
      <w:rPr>
        <w:rFonts w:hint="default"/>
      </w:rPr>
    </w:lvl>
    <w:lvl w:ilvl="6">
      <w:start w:val="1"/>
      <w:numFmt w:val="lowerRoman"/>
      <w:pStyle w:val="AOListNumberL7"/>
      <w:lvlText w:val="(%7)"/>
      <w:lvlJc w:val="left"/>
      <w:pPr>
        <w:tabs>
          <w:tab w:val="num" w:pos="2160"/>
        </w:tabs>
        <w:ind w:left="2160" w:hanging="720"/>
      </w:pPr>
      <w:rPr>
        <w:rFonts w:hint="default"/>
      </w:rPr>
    </w:lvl>
    <w:lvl w:ilvl="7">
      <w:start w:val="1"/>
      <w:numFmt w:val="upperLetter"/>
      <w:pStyle w:val="AOListNumberL8"/>
      <w:lvlText w:val="(%8)"/>
      <w:lvlJc w:val="left"/>
      <w:pPr>
        <w:tabs>
          <w:tab w:val="num" w:pos="2880"/>
        </w:tabs>
        <w:ind w:left="2880" w:hanging="720"/>
      </w:pPr>
      <w:rPr>
        <w:rFonts w:hint="default"/>
      </w:rPr>
    </w:lvl>
    <w:lvl w:ilvl="8">
      <w:start w:val="1"/>
      <w:numFmt w:val="upperRoman"/>
      <w:pStyle w:val="AOListNumberL9"/>
      <w:lvlText w:val="%9."/>
      <w:lvlJc w:val="left"/>
      <w:pPr>
        <w:tabs>
          <w:tab w:val="num" w:pos="3600"/>
        </w:tabs>
        <w:ind w:left="3600" w:hanging="720"/>
      </w:pPr>
      <w:rPr>
        <w:rFonts w:hint="default"/>
      </w:rPr>
    </w:lvl>
  </w:abstractNum>
  <w:abstractNum w:abstractNumId="4" w15:restartNumberingAfterBreak="0">
    <w:nsid w:val="126844B4"/>
    <w:multiLevelType w:val="hybridMultilevel"/>
    <w:tmpl w:val="7E5C2080"/>
    <w:name w:val="zzmpFWB||FW Body Text|2|3|0|1|0|49||1&#10;par |0|32||1|0|32||1|0|32||1|0|32||1|0|32||1|0|32||1|0|32||mpNA||"/>
    <w:lvl w:ilvl="0" w:tplc="64D80EEC">
      <w:start w:val="1"/>
      <w:numFmt w:val="decimal"/>
      <w:pStyle w:val="FWBL1"/>
      <w:lvlText w:val="%1."/>
      <w:lvlJc w:val="left"/>
      <w:pPr>
        <w:tabs>
          <w:tab w:val="num" w:pos="360"/>
        </w:tabs>
        <w:ind w:left="360" w:hanging="360"/>
      </w:pPr>
      <w:rPr>
        <w:rFonts w:hint="default"/>
      </w:rPr>
    </w:lvl>
    <w:lvl w:ilvl="1" w:tplc="BB88074A">
      <w:start w:val="1"/>
      <w:numFmt w:val="lowerLetter"/>
      <w:pStyle w:val="FWBL2"/>
      <w:lvlText w:val="%2."/>
      <w:lvlJc w:val="left"/>
      <w:pPr>
        <w:tabs>
          <w:tab w:val="num" w:pos="1440"/>
        </w:tabs>
        <w:ind w:left="1440" w:hanging="360"/>
      </w:pPr>
    </w:lvl>
    <w:lvl w:ilvl="2" w:tplc="1826EBAA">
      <w:start w:val="1"/>
      <w:numFmt w:val="lowerRoman"/>
      <w:pStyle w:val="FWBL3"/>
      <w:lvlText w:val="%3."/>
      <w:lvlJc w:val="right"/>
      <w:pPr>
        <w:tabs>
          <w:tab w:val="num" w:pos="2160"/>
        </w:tabs>
        <w:ind w:left="2160" w:hanging="180"/>
      </w:pPr>
    </w:lvl>
    <w:lvl w:ilvl="3" w:tplc="8676D1EE">
      <w:start w:val="1"/>
      <w:numFmt w:val="decimal"/>
      <w:pStyle w:val="FWBL4"/>
      <w:lvlText w:val="%4."/>
      <w:lvlJc w:val="left"/>
      <w:pPr>
        <w:tabs>
          <w:tab w:val="num" w:pos="2880"/>
        </w:tabs>
        <w:ind w:left="2880" w:hanging="360"/>
      </w:pPr>
    </w:lvl>
    <w:lvl w:ilvl="4" w:tplc="1540A45A">
      <w:start w:val="1"/>
      <w:numFmt w:val="lowerLetter"/>
      <w:pStyle w:val="FWBL5"/>
      <w:lvlText w:val="%5."/>
      <w:lvlJc w:val="left"/>
      <w:pPr>
        <w:tabs>
          <w:tab w:val="num" w:pos="3600"/>
        </w:tabs>
        <w:ind w:left="3600" w:hanging="360"/>
      </w:pPr>
    </w:lvl>
    <w:lvl w:ilvl="5" w:tplc="83668314" w:tentative="1">
      <w:start w:val="1"/>
      <w:numFmt w:val="lowerRoman"/>
      <w:pStyle w:val="FWBL6"/>
      <w:lvlText w:val="%6."/>
      <w:lvlJc w:val="right"/>
      <w:pPr>
        <w:tabs>
          <w:tab w:val="num" w:pos="4320"/>
        </w:tabs>
        <w:ind w:left="4320" w:hanging="180"/>
      </w:pPr>
    </w:lvl>
    <w:lvl w:ilvl="6" w:tplc="3ED0449C" w:tentative="1">
      <w:start w:val="1"/>
      <w:numFmt w:val="decimal"/>
      <w:pStyle w:val="FWBL7"/>
      <w:lvlText w:val="%7."/>
      <w:lvlJc w:val="left"/>
      <w:pPr>
        <w:tabs>
          <w:tab w:val="num" w:pos="5040"/>
        </w:tabs>
        <w:ind w:left="5040" w:hanging="360"/>
      </w:pPr>
    </w:lvl>
    <w:lvl w:ilvl="7" w:tplc="9AAC59EC" w:tentative="1">
      <w:start w:val="1"/>
      <w:numFmt w:val="lowerLetter"/>
      <w:pStyle w:val="FWBL8"/>
      <w:lvlText w:val="%8."/>
      <w:lvlJc w:val="left"/>
      <w:pPr>
        <w:tabs>
          <w:tab w:val="num" w:pos="5760"/>
        </w:tabs>
        <w:ind w:left="5760" w:hanging="360"/>
      </w:pPr>
    </w:lvl>
    <w:lvl w:ilvl="8" w:tplc="27AE8772" w:tentative="1">
      <w:start w:val="1"/>
      <w:numFmt w:val="lowerRoman"/>
      <w:lvlText w:val="%9."/>
      <w:lvlJc w:val="right"/>
      <w:pPr>
        <w:tabs>
          <w:tab w:val="num" w:pos="6480"/>
        </w:tabs>
        <w:ind w:left="6480" w:hanging="180"/>
      </w:pPr>
    </w:lvl>
  </w:abstractNum>
  <w:abstractNum w:abstractNumId="5" w15:restartNumberingAfterBreak="0">
    <w:nsid w:val="17CB7BC3"/>
    <w:multiLevelType w:val="hybridMultilevel"/>
    <w:tmpl w:val="668691FC"/>
    <w:name w:val="AOA2"/>
    <w:lvl w:ilvl="0" w:tplc="A134CD9C">
      <w:start w:val="3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7" w15:restartNumberingAfterBreak="0">
    <w:nsid w:val="234A78D5"/>
    <w:multiLevelType w:val="hybridMultilevel"/>
    <w:tmpl w:val="3A6CB324"/>
    <w:name w:val="Body Text Numbered"/>
    <w:lvl w:ilvl="0" w:tplc="F5487446">
      <w:start w:val="1"/>
      <w:numFmt w:val="decimal"/>
      <w:lvlRestart w:val="0"/>
      <w:pStyle w:val="BodyTextNumbered"/>
      <w:lvlText w:val="%1."/>
      <w:lvlJc w:val="left"/>
      <w:pPr>
        <w:tabs>
          <w:tab w:val="num" w:pos="2160"/>
        </w:tabs>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E1B5A"/>
    <w:multiLevelType w:val="hybridMultilevel"/>
    <w:tmpl w:val="6A80102A"/>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0"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39E4188C"/>
    <w:multiLevelType w:val="hybridMultilevel"/>
    <w:tmpl w:val="6A80102A"/>
    <w:lvl w:ilvl="0" w:tplc="7A78B504">
      <w:start w:val="1"/>
      <w:numFmt w:val="upp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E92C2D"/>
    <w:multiLevelType w:val="hybridMultilevel"/>
    <w:tmpl w:val="F0A0C4C8"/>
    <w:name w:val="Bulleted List"/>
    <w:lvl w:ilvl="0" w:tplc="C730213A">
      <w:start w:val="1"/>
      <w:numFmt w:val="bullet"/>
      <w:pStyle w:val="BulletedLis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3E29759A"/>
    <w:multiLevelType w:val="multilevel"/>
    <w:tmpl w:val="E970EBAE"/>
    <w:name w:val="AOGen2"/>
    <w:lvl w:ilvl="0">
      <w:start w:val="1"/>
      <w:numFmt w:val="decimal"/>
      <w:lvlRestart w:val="0"/>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rPr>
        <w:rFonts w:hint="default"/>
      </w:rPr>
    </w:lvl>
    <w:lvl w:ilvl="3">
      <w:start w:val="1"/>
      <w:numFmt w:val="lowerLetter"/>
      <w:pStyle w:val="AOGenNum2List2"/>
      <w:lvlText w:val="(%4)"/>
      <w:lvlJc w:val="left"/>
      <w:pPr>
        <w:tabs>
          <w:tab w:val="num" w:pos="1440"/>
        </w:tabs>
        <w:ind w:left="1440" w:hanging="720"/>
      </w:pPr>
      <w:rPr>
        <w:rFonts w:hint="default"/>
      </w:rPr>
    </w:lvl>
    <w:lvl w:ilvl="4">
      <w:start w:val="1"/>
      <w:numFmt w:val="lowerRoman"/>
      <w:pStyle w:val="AOGenNum2List3"/>
      <w:lvlText w:val="(%5)"/>
      <w:lvlJc w:val="left"/>
      <w:pPr>
        <w:tabs>
          <w:tab w:val="num" w:pos="1440"/>
        </w:tabs>
        <w:ind w:left="1440" w:hanging="720"/>
      </w:pPr>
      <w:rPr>
        <w:rFonts w:hint="default"/>
      </w:rPr>
    </w:lvl>
    <w:lvl w:ilvl="5">
      <w:start w:val="1"/>
      <w:numFmt w:val="lowerRoman"/>
      <w:pStyle w:val="AOGenNum2List4"/>
      <w:lvlText w:val="(%6)"/>
      <w:lvlJc w:val="left"/>
      <w:pPr>
        <w:tabs>
          <w:tab w:val="num" w:pos="2160"/>
        </w:tabs>
        <w:ind w:left="2160" w:hanging="720"/>
      </w:pPr>
      <w:rPr>
        <w:rFonts w:hint="default"/>
      </w:rPr>
    </w:lvl>
    <w:lvl w:ilvl="6">
      <w:start w:val="1"/>
      <w:numFmt w:val="upperLetter"/>
      <w:pStyle w:val="AOGenNum2List5"/>
      <w:lvlText w:val="(%7)"/>
      <w:lvlJc w:val="left"/>
      <w:pPr>
        <w:tabs>
          <w:tab w:val="num" w:pos="2160"/>
        </w:tabs>
        <w:ind w:left="2160" w:hanging="720"/>
      </w:pPr>
      <w:rPr>
        <w:rFonts w:hint="default"/>
      </w:rPr>
    </w:lvl>
    <w:lvl w:ilvl="7">
      <w:start w:val="1"/>
      <w:numFmt w:val="upperLetter"/>
      <w:pStyle w:val="AOGenNum2List6"/>
      <w:lvlText w:val="(%8)"/>
      <w:lvlJc w:val="left"/>
      <w:pPr>
        <w:tabs>
          <w:tab w:val="num" w:pos="2880"/>
        </w:tabs>
        <w:ind w:left="2880" w:hanging="720"/>
      </w:pPr>
      <w:rPr>
        <w:rFonts w:hint="default"/>
      </w:rPr>
    </w:lvl>
    <w:lvl w:ilvl="8">
      <w:start w:val="1"/>
      <w:numFmt w:val="upperRoman"/>
      <w:pStyle w:val="AOGenNum2List7"/>
      <w:lvlText w:val="%9."/>
      <w:lvlJc w:val="left"/>
      <w:pPr>
        <w:tabs>
          <w:tab w:val="num" w:pos="3600"/>
        </w:tabs>
        <w:ind w:left="3600" w:hanging="720"/>
      </w:pPr>
      <w:rPr>
        <w:rFonts w:hint="default"/>
      </w:rPr>
    </w:lvl>
  </w:abstractNum>
  <w:abstractNum w:abstractNumId="15" w15:restartNumberingAfterBreak="0">
    <w:nsid w:val="3E4B115F"/>
    <w:multiLevelType w:val="multilevel"/>
    <w:tmpl w:val="152A4776"/>
    <w:lvl w:ilvl="0">
      <w:start w:val="1"/>
      <w:numFmt w:val="decimal"/>
      <w:pStyle w:val="S2Heading1"/>
      <w:suff w:val="nothing"/>
      <w:lvlText w:val="SCHEDULE %1"/>
      <w:lvlJc w:val="left"/>
      <w:pPr>
        <w:ind w:left="0" w:firstLine="0"/>
      </w:pPr>
      <w:rPr>
        <w:rFonts w:ascii="Times New Roman" w:hAnsi="Times New Roman" w:cs="Times New Roman" w:hint="default"/>
        <w:b/>
        <w:i w:val="0"/>
        <w:caps w:val="0"/>
        <w:color w:val="010000"/>
        <w:u w:val="none"/>
      </w:rPr>
    </w:lvl>
    <w:lvl w:ilvl="1">
      <w:start w:val="1"/>
      <w:numFmt w:val="decimal"/>
      <w:pStyle w:val="S2Heading2"/>
      <w:lvlText w:val="%2."/>
      <w:lvlJc w:val="left"/>
      <w:pPr>
        <w:tabs>
          <w:tab w:val="num" w:pos="720"/>
        </w:tabs>
        <w:ind w:left="720" w:hanging="720"/>
      </w:pPr>
      <w:rPr>
        <w:rFonts w:hint="default"/>
        <w:b w:val="0"/>
        <w:i w:val="0"/>
        <w:color w:val="010000"/>
        <w:u w:val="none"/>
      </w:rPr>
    </w:lvl>
    <w:lvl w:ilvl="2">
      <w:start w:val="1"/>
      <w:numFmt w:val="decimal"/>
      <w:pStyle w:val="S2Heading3"/>
      <w:lvlText w:val="%2.%3"/>
      <w:lvlJc w:val="left"/>
      <w:pPr>
        <w:tabs>
          <w:tab w:val="num" w:pos="720"/>
        </w:tabs>
        <w:ind w:left="720" w:hanging="720"/>
      </w:pPr>
      <w:rPr>
        <w:rFonts w:hint="default"/>
        <w:color w:val="010000"/>
        <w:u w:val="none"/>
      </w:rPr>
    </w:lvl>
    <w:lvl w:ilvl="3">
      <w:start w:val="1"/>
      <w:numFmt w:val="lowerLetter"/>
      <w:pStyle w:val="S2Heading4"/>
      <w:lvlText w:val="(%4)"/>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Roman"/>
      <w:pStyle w:val="S2Heading5"/>
      <w:lvlText w:val="(%5)"/>
      <w:lvlJc w:val="left"/>
      <w:pPr>
        <w:tabs>
          <w:tab w:val="num" w:pos="2160"/>
        </w:tabs>
        <w:ind w:left="2160" w:hanging="720"/>
      </w:pPr>
      <w:rPr>
        <w:rFonts w:hint="default"/>
        <w:i w:val="0"/>
        <w:color w:val="010000"/>
        <w:u w:val="none"/>
      </w:rPr>
    </w:lvl>
    <w:lvl w:ilvl="5">
      <w:start w:val="1"/>
      <w:numFmt w:val="upperLetter"/>
      <w:pStyle w:val="S2Heading6"/>
      <w:lvlText w:val="(%6)"/>
      <w:lvlJc w:val="left"/>
      <w:pPr>
        <w:tabs>
          <w:tab w:val="num" w:pos="2880"/>
        </w:tabs>
        <w:ind w:left="2880" w:hanging="720"/>
      </w:pPr>
      <w:rPr>
        <w:rFonts w:hint="default"/>
        <w:color w:val="010000"/>
        <w:u w:val="none"/>
      </w:rPr>
    </w:lvl>
    <w:lvl w:ilvl="6">
      <w:start w:val="27"/>
      <w:numFmt w:val="none"/>
      <w:pStyle w:val="S2Heading7"/>
      <w:suff w:val="nothing"/>
      <w:lvlText w:val=""/>
      <w:lvlJc w:val="left"/>
      <w:pPr>
        <w:ind w:left="0" w:firstLine="0"/>
      </w:pPr>
      <w:rPr>
        <w:rFonts w:hint="default"/>
        <w:color w:val="010000"/>
        <w:u w:val="none"/>
      </w:rPr>
    </w:lvl>
    <w:lvl w:ilvl="7">
      <w:start w:val="1"/>
      <w:numFmt w:val="none"/>
      <w:pStyle w:val="S2Heading8"/>
      <w:suff w:val="nothing"/>
      <w:lvlText w:val=""/>
      <w:lvlJc w:val="left"/>
      <w:pPr>
        <w:ind w:left="0" w:firstLine="0"/>
      </w:pPr>
      <w:rPr>
        <w:rFonts w:hint="default"/>
        <w:color w:val="010000"/>
        <w:u w:val="none"/>
      </w:rPr>
    </w:lvl>
    <w:lvl w:ilvl="8">
      <w:start w:val="1"/>
      <w:numFmt w:val="none"/>
      <w:pStyle w:val="S2Heading9"/>
      <w:suff w:val="nothing"/>
      <w:lvlText w:val=""/>
      <w:lvlJc w:val="left"/>
      <w:pPr>
        <w:ind w:left="0" w:firstLine="0"/>
      </w:pPr>
      <w:rPr>
        <w:rFonts w:hint="default"/>
        <w:color w:val="010000"/>
        <w:u w:val="none"/>
      </w:rPr>
    </w:lvl>
  </w:abstractNum>
  <w:abstractNum w:abstractNumId="16" w15:restartNumberingAfterBreak="0">
    <w:nsid w:val="402C195E"/>
    <w:multiLevelType w:val="multilevel"/>
    <w:tmpl w:val="29422402"/>
    <w:styleLink w:val="BMHeadings-Language2"/>
    <w:lvl w:ilvl="0">
      <w:start w:val="1"/>
      <w:numFmt w:val="none"/>
      <w:pStyle w:val="Heading1-Language2"/>
      <w:suff w:val="nothing"/>
      <w:lvlText w:val=""/>
      <w:lvlJc w:val="left"/>
      <w:pPr>
        <w:ind w:left="0" w:firstLine="0"/>
      </w:pPr>
      <w:rPr>
        <w:rFonts w:hint="default"/>
      </w:rPr>
    </w:lvl>
    <w:lvl w:ilvl="1">
      <w:start w:val="1"/>
      <w:numFmt w:val="decimal"/>
      <w:pStyle w:val="Heading2-Language2"/>
      <w:lvlText w:val="%2."/>
      <w:lvlJc w:val="left"/>
      <w:pPr>
        <w:tabs>
          <w:tab w:val="num" w:pos="425"/>
        </w:tabs>
        <w:ind w:left="425" w:hanging="425"/>
      </w:pPr>
      <w:rPr>
        <w:rFonts w:hint="default"/>
      </w:rPr>
    </w:lvl>
    <w:lvl w:ilvl="2">
      <w:start w:val="1"/>
      <w:numFmt w:val="decimal"/>
      <w:pStyle w:val="Heading3-Language2"/>
      <w:lvlText w:val="%2.%3"/>
      <w:lvlJc w:val="left"/>
      <w:pPr>
        <w:tabs>
          <w:tab w:val="num" w:pos="425"/>
        </w:tabs>
        <w:ind w:left="425" w:hanging="425"/>
      </w:pPr>
      <w:rPr>
        <w:rFonts w:hint="default"/>
      </w:rPr>
    </w:lvl>
    <w:lvl w:ilvl="3">
      <w:start w:val="1"/>
      <w:numFmt w:val="lowerLetter"/>
      <w:pStyle w:val="Heading4-Language2"/>
      <w:lvlText w:val="(%4)"/>
      <w:lvlJc w:val="left"/>
      <w:pPr>
        <w:tabs>
          <w:tab w:val="num" w:pos="851"/>
        </w:tabs>
        <w:ind w:left="851" w:hanging="426"/>
      </w:pPr>
      <w:rPr>
        <w:rFonts w:hint="default"/>
      </w:rPr>
    </w:lvl>
    <w:lvl w:ilvl="4">
      <w:start w:val="1"/>
      <w:numFmt w:val="lowerRoman"/>
      <w:pStyle w:val="Heading5-Language2"/>
      <w:lvlText w:val="(%5)"/>
      <w:lvlJc w:val="left"/>
      <w:pPr>
        <w:tabs>
          <w:tab w:val="num" w:pos="1276"/>
        </w:tabs>
        <w:ind w:left="1276" w:hanging="425"/>
      </w:pPr>
      <w:rPr>
        <w:rFonts w:hint="default"/>
      </w:rPr>
    </w:lvl>
    <w:lvl w:ilvl="5">
      <w:start w:val="1"/>
      <w:numFmt w:val="upperLetter"/>
      <w:pStyle w:val="Heading6-Language2"/>
      <w:lvlText w:val="(%6)"/>
      <w:lvlJc w:val="left"/>
      <w:pPr>
        <w:tabs>
          <w:tab w:val="num" w:pos="1701"/>
        </w:tabs>
        <w:ind w:left="1701" w:hanging="425"/>
      </w:pPr>
      <w:rPr>
        <w:rFonts w:hint="default"/>
      </w:rPr>
    </w:lvl>
    <w:lvl w:ilvl="6">
      <w:start w:val="1"/>
      <w:numFmt w:val="decimal"/>
      <w:pStyle w:val="Heading7-Language2"/>
      <w:lvlText w:val="(%7)"/>
      <w:lvlJc w:val="left"/>
      <w:pPr>
        <w:tabs>
          <w:tab w:val="num" w:pos="2126"/>
        </w:tabs>
        <w:ind w:left="2126" w:hanging="425"/>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410106BE"/>
    <w:multiLevelType w:val="hybridMultilevel"/>
    <w:tmpl w:val="BB4E5792"/>
    <w:lvl w:ilvl="0" w:tplc="EADED8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505D14"/>
    <w:multiLevelType w:val="multilevel"/>
    <w:tmpl w:val="8F0C3698"/>
    <w:lvl w:ilvl="0">
      <w:start w:val="1"/>
      <w:numFmt w:val="upperLetter"/>
      <w:lvlRestart w:val="0"/>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19"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0" w15:restartNumberingAfterBreak="0">
    <w:nsid w:val="47B238E7"/>
    <w:multiLevelType w:val="multilevel"/>
    <w:tmpl w:val="9E583170"/>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pStyle w:val="AOGenNum3List2"/>
      <w:lvlText w:val="(%3)"/>
      <w:lvlJc w:val="left"/>
      <w:pPr>
        <w:tabs>
          <w:tab w:val="num" w:pos="720"/>
        </w:tabs>
        <w:ind w:left="720" w:hanging="720"/>
      </w:pPr>
      <w:rPr>
        <w:rFonts w:hint="default"/>
      </w:rPr>
    </w:lvl>
    <w:lvl w:ilvl="3">
      <w:start w:val="1"/>
      <w:numFmt w:val="lowerLetter"/>
      <w:pStyle w:val="AOGenNum3List3"/>
      <w:lvlText w:val="(%4)"/>
      <w:lvlJc w:val="left"/>
      <w:pPr>
        <w:tabs>
          <w:tab w:val="num" w:pos="1440"/>
        </w:tabs>
        <w:ind w:left="1440" w:hanging="720"/>
      </w:pPr>
      <w:rPr>
        <w:rFonts w:hint="default"/>
      </w:rPr>
    </w:lvl>
    <w:lvl w:ilvl="4">
      <w:start w:val="1"/>
      <w:numFmt w:val="lowerRoman"/>
      <w:pStyle w:val="AOGenNum3List4"/>
      <w:lvlText w:val="(%5)"/>
      <w:lvlJc w:val="left"/>
      <w:pPr>
        <w:tabs>
          <w:tab w:val="num" w:pos="1440"/>
        </w:tabs>
        <w:ind w:left="1440" w:hanging="720"/>
      </w:pPr>
      <w:rPr>
        <w:rFonts w:hint="default"/>
      </w:rPr>
    </w:lvl>
    <w:lvl w:ilvl="5">
      <w:start w:val="1"/>
      <w:numFmt w:val="lowerRoman"/>
      <w:pStyle w:val="AOGenNum3List5"/>
      <w:lvlText w:val="(%6)"/>
      <w:lvlJc w:val="left"/>
      <w:pPr>
        <w:tabs>
          <w:tab w:val="num" w:pos="2160"/>
        </w:tabs>
        <w:ind w:left="2160" w:hanging="720"/>
      </w:pPr>
      <w:rPr>
        <w:rFonts w:hint="default"/>
      </w:rPr>
    </w:lvl>
    <w:lvl w:ilvl="6">
      <w:start w:val="1"/>
      <w:numFmt w:val="upperLetter"/>
      <w:pStyle w:val="AOGenNum3List6"/>
      <w:lvlText w:val="(%7)"/>
      <w:lvlJc w:val="left"/>
      <w:pPr>
        <w:tabs>
          <w:tab w:val="num" w:pos="2160"/>
        </w:tabs>
        <w:ind w:left="2160" w:hanging="720"/>
      </w:pPr>
      <w:rPr>
        <w:rFonts w:hint="default"/>
      </w:rPr>
    </w:lvl>
    <w:lvl w:ilvl="7">
      <w:start w:val="1"/>
      <w:numFmt w:val="upperLetter"/>
      <w:pStyle w:val="AOGenNum3List7"/>
      <w:lvlText w:val="(%8)"/>
      <w:lvlJc w:val="left"/>
      <w:pPr>
        <w:tabs>
          <w:tab w:val="num" w:pos="2880"/>
        </w:tabs>
        <w:ind w:left="2880" w:hanging="720"/>
      </w:pPr>
      <w:rPr>
        <w:rFonts w:hint="default"/>
      </w:rPr>
    </w:lvl>
    <w:lvl w:ilvl="8">
      <w:start w:val="1"/>
      <w:numFmt w:val="upperRoman"/>
      <w:pStyle w:val="AOGenNum3List8"/>
      <w:lvlText w:val="%9."/>
      <w:lvlJc w:val="left"/>
      <w:pPr>
        <w:tabs>
          <w:tab w:val="num" w:pos="3600"/>
        </w:tabs>
        <w:ind w:left="3600" w:hanging="720"/>
      </w:pPr>
      <w:rPr>
        <w:rFonts w:hint="default"/>
      </w:rPr>
    </w:lvl>
  </w:abstractNum>
  <w:abstractNum w:abstractNumId="21" w15:restartNumberingAfterBreak="0">
    <w:nsid w:val="49C66851"/>
    <w:multiLevelType w:val="multilevel"/>
    <w:tmpl w:val="0CE8678E"/>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b/>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2" w15:restartNumberingAfterBreak="0">
    <w:nsid w:val="4CFE7B09"/>
    <w:multiLevelType w:val="multilevel"/>
    <w:tmpl w:val="33EE90A2"/>
    <w:name w:val="AO1"/>
    <w:lvl w:ilvl="0">
      <w:start w:val="1"/>
      <w:numFmt w:val="decimal"/>
      <w:lvlRestart w:val="0"/>
      <w:pStyle w:val="AO1"/>
      <w:lvlText w:val="(%1)"/>
      <w:lvlJc w:val="left"/>
      <w:pPr>
        <w:tabs>
          <w:tab w:val="num" w:pos="720"/>
        </w:tabs>
        <w:ind w:left="720" w:hanging="720"/>
      </w:pPr>
      <w:rPr>
        <w:rFonts w:hint="default"/>
        <w:b w:val="0"/>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23" w15:restartNumberingAfterBreak="0">
    <w:nsid w:val="4E4B4E3E"/>
    <w:multiLevelType w:val="multilevel"/>
    <w:tmpl w:val="21C619F4"/>
    <w:name w:val="AOHeadX"/>
    <w:lvl w:ilvl="0">
      <w:start w:val="1"/>
      <w:numFmt w:val="decimal"/>
      <w:lvlRestart w:val="0"/>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F4B3ADF"/>
    <w:multiLevelType w:val="multilevel"/>
    <w:tmpl w:val="B09CE89A"/>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22"/>
        <w:szCs w:val="22"/>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511C70D7"/>
    <w:multiLevelType w:val="multilevel"/>
    <w:tmpl w:val="15526FD6"/>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6" w15:restartNumberingAfterBreak="0">
    <w:nsid w:val="523A488C"/>
    <w:multiLevelType w:val="multilevel"/>
    <w:tmpl w:val="EA7E9DD0"/>
    <w:lvl w:ilvl="0">
      <w:start w:val="1"/>
      <w:numFmt w:val="none"/>
      <w:pStyle w:val="Definition1"/>
      <w:suff w:val="nothing"/>
      <w:lvlText w:val="%1"/>
      <w:lvlJc w:val="left"/>
      <w:pPr>
        <w:ind w:left="709" w:firstLine="0"/>
      </w:pPr>
    </w:lvl>
    <w:lvl w:ilvl="1">
      <w:start w:val="1"/>
      <w:numFmt w:val="lowerLetter"/>
      <w:pStyle w:val="Definition2"/>
      <w:lvlText w:val="(%2)"/>
      <w:lvlJc w:val="left"/>
      <w:pPr>
        <w:tabs>
          <w:tab w:val="num" w:pos="1418"/>
        </w:tabs>
        <w:ind w:left="1418" w:hanging="709"/>
      </w:pPr>
    </w:lvl>
    <w:lvl w:ilvl="2">
      <w:start w:val="1"/>
      <w:numFmt w:val="lowerRoman"/>
      <w:pStyle w:val="Definition3"/>
      <w:lvlText w:val="(%3)"/>
      <w:lvlJc w:val="left"/>
      <w:pPr>
        <w:tabs>
          <w:tab w:val="num" w:pos="2126"/>
        </w:tabs>
        <w:ind w:left="2126" w:hanging="708"/>
      </w:pPr>
    </w:lvl>
    <w:lvl w:ilvl="3">
      <w:start w:val="1"/>
      <w:numFmt w:val="upperLetter"/>
      <w:pStyle w:val="Definition4"/>
      <w:lvlText w:val="(%4)"/>
      <w:lvlJc w:val="left"/>
      <w:pPr>
        <w:tabs>
          <w:tab w:val="num" w:pos="2835"/>
        </w:tabs>
        <w:ind w:left="2835" w:hanging="709"/>
      </w:pPr>
    </w:lvl>
    <w:lvl w:ilvl="4">
      <w:start w:val="1"/>
      <w:numFmt w:val="decimal"/>
      <w:pStyle w:val="Definition5"/>
      <w:lvlText w:val="(%5)"/>
      <w:lvlJc w:val="left"/>
      <w:pPr>
        <w:tabs>
          <w:tab w:val="num" w:pos="3544"/>
        </w:tabs>
        <w:ind w:left="3544" w:hanging="709"/>
      </w:pPr>
    </w:lvl>
    <w:lvl w:ilvl="5">
      <w:start w:val="27"/>
      <w:numFmt w:val="lowerLetter"/>
      <w:pStyle w:val="Definition6"/>
      <w:lvlText w:val="(%6)"/>
      <w:lvlJc w:val="left"/>
      <w:pPr>
        <w:tabs>
          <w:tab w:val="num" w:pos="4253"/>
        </w:tabs>
        <w:ind w:left="4253" w:hanging="709"/>
      </w:pPr>
    </w:lvl>
    <w:lvl w:ilvl="6">
      <w:start w:val="1"/>
      <w:numFmt w:val="upperRoman"/>
      <w:pStyle w:val="Definition7"/>
      <w:lvlText w:val="(%7)"/>
      <w:lvlJc w:val="left"/>
      <w:pPr>
        <w:tabs>
          <w:tab w:val="num" w:pos="4961"/>
        </w:tabs>
        <w:ind w:left="4961" w:hanging="708"/>
      </w:pPr>
    </w:lvl>
    <w:lvl w:ilvl="7">
      <w:start w:val="1"/>
      <w:numFmt w:val="lowerLetter"/>
      <w:pStyle w:val="Definition8"/>
      <w:lvlText w:val="(%8)"/>
      <w:lvlJc w:val="left"/>
      <w:pPr>
        <w:tabs>
          <w:tab w:val="num" w:pos="5670"/>
        </w:tabs>
        <w:ind w:left="5670" w:hanging="709"/>
      </w:pPr>
    </w:lvl>
    <w:lvl w:ilvl="8">
      <w:start w:val="1"/>
      <w:numFmt w:val="lowerRoman"/>
      <w:pStyle w:val="Definition9"/>
      <w:lvlText w:val="(%9)"/>
      <w:lvlJc w:val="left"/>
      <w:pPr>
        <w:tabs>
          <w:tab w:val="num" w:pos="6379"/>
        </w:tabs>
        <w:ind w:left="6379" w:hanging="709"/>
      </w:pPr>
    </w:lvl>
  </w:abstractNum>
  <w:abstractNum w:abstractNumId="27" w15:restartNumberingAfterBreak="0">
    <w:nsid w:val="54365F68"/>
    <w:multiLevelType w:val="multilevel"/>
    <w:tmpl w:val="29422402"/>
    <w:numStyleLink w:val="BMHeadings-Language2"/>
  </w:abstractNum>
  <w:abstractNum w:abstractNumId="28" w15:restartNumberingAfterBreak="0">
    <w:nsid w:val="58160D29"/>
    <w:multiLevelType w:val="multilevel"/>
    <w:tmpl w:val="B764E506"/>
    <w:name w:val="Annex"/>
    <w:lvl w:ilvl="0">
      <w:start w:val="1"/>
      <w:numFmt w:val="decimal"/>
      <w:pStyle w:val="AnxHead"/>
      <w:suff w:val="nothing"/>
      <w:lvlText w:val="Annex %1"/>
      <w:lvlJc w:val="left"/>
      <w:pPr>
        <w:ind w:left="0" w:firstLine="0"/>
      </w:pPr>
      <w:rPr>
        <w:rFonts w:hint="default"/>
      </w:rPr>
    </w:lvl>
    <w:lvl w:ilvl="1">
      <w:start w:val="1"/>
      <w:numFmt w:val="none"/>
      <w:pStyle w:val="AnxTitl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2880"/>
      </w:pPr>
      <w:rPr>
        <w:rFonts w:hint="default"/>
      </w:rPr>
    </w:lvl>
  </w:abstractNum>
  <w:abstractNum w:abstractNumId="29" w15:restartNumberingAfterBreak="0">
    <w:nsid w:val="62830D10"/>
    <w:multiLevelType w:val="multilevel"/>
    <w:tmpl w:val="8B5AA13C"/>
    <w:name w:val="AOA"/>
    <w:lvl w:ilvl="0">
      <w:start w:val="1"/>
      <w:numFmt w:val="upperLetter"/>
      <w:lvlRestart w:val="0"/>
      <w:pStyle w:val="AOA"/>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30" w15:restartNumberingAfterBreak="0">
    <w:nsid w:val="68944A99"/>
    <w:multiLevelType w:val="hybridMultilevel"/>
    <w:tmpl w:val="AC82A24C"/>
    <w:lvl w:ilvl="0" w:tplc="E5BE4F08">
      <w:start w:val="1"/>
      <w:numFmt w:val="decimal"/>
      <w:pStyle w:val="BulletL1"/>
      <w:lvlText w:val="(%1)"/>
      <w:lvlJc w:val="left"/>
      <w:pPr>
        <w:ind w:left="720" w:hanging="360"/>
      </w:pPr>
      <w:rPr>
        <w:rFonts w:hint="default"/>
        <w:b w:val="0"/>
      </w:rPr>
    </w:lvl>
    <w:lvl w:ilvl="1" w:tplc="08090019" w:tentative="1">
      <w:start w:val="1"/>
      <w:numFmt w:val="lowerLetter"/>
      <w:pStyle w:val="Bullet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EA3418"/>
    <w:multiLevelType w:val="multilevel"/>
    <w:tmpl w:val="3DCC177E"/>
    <w:lvl w:ilvl="0">
      <w:start w:val="1"/>
      <w:numFmt w:val="none"/>
      <w:pStyle w:val="FWDL1"/>
      <w:suff w:val="nothing"/>
      <w:lvlText w:val=""/>
      <w:lvlJc w:val="left"/>
      <w:pPr>
        <w:ind w:left="0" w:firstLine="0"/>
      </w:pPr>
      <w:rPr>
        <w:rFonts w:ascii="Times New Roman" w:hAnsi="Times New Roman"/>
        <w:b w:val="0"/>
        <w:i w:val="0"/>
        <w:caps w:val="0"/>
        <w:color w:val="auto"/>
        <w:sz w:val="24"/>
        <w:u w:val="none"/>
      </w:rPr>
    </w:lvl>
    <w:lvl w:ilvl="1">
      <w:start w:val="1"/>
      <w:numFmt w:val="lowerLetter"/>
      <w:pStyle w:val="FWDL2"/>
      <w:lvlText w:val="(%2)"/>
      <w:lvlJc w:val="left"/>
      <w:pPr>
        <w:tabs>
          <w:tab w:val="num" w:pos="720"/>
        </w:tabs>
        <w:ind w:left="720" w:hanging="720"/>
      </w:pPr>
      <w:rPr>
        <w:rFonts w:ascii="Times New Roman" w:hAnsi="Times New Roman"/>
        <w:b w:val="0"/>
        <w:i w:val="0"/>
        <w:caps w:val="0"/>
        <w:color w:val="auto"/>
        <w:sz w:val="24"/>
        <w:u w:val="none"/>
      </w:rPr>
    </w:lvl>
    <w:lvl w:ilvl="2">
      <w:start w:val="1"/>
      <w:numFmt w:val="lowerRoman"/>
      <w:pStyle w:val="FWDL3"/>
      <w:lvlText w:val="(%3)"/>
      <w:lvlJc w:val="right"/>
      <w:pPr>
        <w:tabs>
          <w:tab w:val="num" w:pos="1440"/>
        </w:tabs>
        <w:ind w:left="1440" w:hanging="216"/>
      </w:pPr>
      <w:rPr>
        <w:rFonts w:ascii="Times New Roman" w:hAnsi="Times New Roman"/>
        <w:b w:val="0"/>
        <w:i w:val="0"/>
        <w:caps w:val="0"/>
        <w:color w:val="auto"/>
        <w:sz w:val="24"/>
        <w:u w:val="none"/>
      </w:rPr>
    </w:lvl>
    <w:lvl w:ilvl="3">
      <w:start w:val="1"/>
      <w:numFmt w:val="upperLetter"/>
      <w:pStyle w:val="FWD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Roman"/>
      <w:pStyle w:val="FWDL5"/>
      <w:lvlText w:val="(%5)"/>
      <w:lvlJc w:val="right"/>
      <w:pPr>
        <w:tabs>
          <w:tab w:val="num" w:pos="2880"/>
        </w:tabs>
        <w:ind w:left="2880" w:hanging="216"/>
      </w:pPr>
      <w:rPr>
        <w:rFonts w:ascii="Times New Roman" w:hAnsi="Times New Roman"/>
        <w:b w:val="0"/>
        <w:i w:val="0"/>
        <w:caps w:val="0"/>
        <w:color w:val="auto"/>
        <w:sz w:val="24"/>
        <w:u w:val="none"/>
      </w:rPr>
    </w:lvl>
    <w:lvl w:ilvl="5">
      <w:start w:val="27"/>
      <w:numFmt w:val="lowerLetter"/>
      <w:pStyle w:val="FWDL6"/>
      <w:lvlText w:val="(%6)"/>
      <w:lvlJc w:val="left"/>
      <w:pPr>
        <w:tabs>
          <w:tab w:val="num" w:pos="3600"/>
        </w:tabs>
        <w:ind w:left="3600" w:hanging="720"/>
      </w:pPr>
      <w:rPr>
        <w:rFonts w:ascii="Times New Roman" w:hAnsi="Times New Roman"/>
        <w:b w:val="0"/>
        <w:i w:val="0"/>
        <w:caps w:val="0"/>
        <w:color w:val="auto"/>
        <w:sz w:val="24"/>
        <w:u w:val="none"/>
      </w:rPr>
    </w:lvl>
    <w:lvl w:ilvl="6">
      <w:start w:val="1"/>
      <w:numFmt w:val="decimal"/>
      <w:pStyle w:val="FWD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4"/>
        <w:u w:val="none"/>
      </w:rPr>
    </w:lvl>
  </w:abstractNum>
  <w:abstractNum w:abstractNumId="32"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6B5E4B43"/>
    <w:multiLevelType w:val="multilevel"/>
    <w:tmpl w:val="6106AF98"/>
    <w:lvl w:ilvl="0">
      <w:start w:val="1"/>
      <w:numFmt w:val="decimal"/>
      <w:pStyle w:val="FWNL1"/>
      <w:lvlText w:val="%1."/>
      <w:lvlJc w:val="left"/>
      <w:pPr>
        <w:tabs>
          <w:tab w:val="num" w:pos="720"/>
        </w:tabs>
        <w:ind w:left="0" w:firstLine="0"/>
      </w:pPr>
      <w:rPr>
        <w:rFonts w:ascii="Times New Roman" w:hAnsi="Times New Roman" w:hint="default"/>
        <w:b/>
        <w:i w:val="0"/>
        <w:caps w:val="0"/>
        <w:color w:val="auto"/>
        <w:u w:val="none"/>
      </w:rPr>
    </w:lvl>
    <w:lvl w:ilvl="1">
      <w:start w:val="1"/>
      <w:numFmt w:val="decimal"/>
      <w:lvlText w:val="%1.%2"/>
      <w:lvlJc w:val="left"/>
      <w:pPr>
        <w:tabs>
          <w:tab w:val="num" w:pos="720"/>
        </w:tabs>
        <w:ind w:left="0" w:firstLine="0"/>
      </w:pPr>
      <w:rPr>
        <w:rFonts w:ascii="Times New Roman" w:hAnsi="Times New Roman" w:hint="default"/>
        <w:b w:val="0"/>
        <w:i w:val="0"/>
        <w:caps w:val="0"/>
        <w:color w:val="auto"/>
        <w:sz w:val="22"/>
        <w:szCs w:val="22"/>
        <w:u w:val="none"/>
        <w:lang w:val="es-ES"/>
      </w:rPr>
    </w:lvl>
    <w:lvl w:ilvl="2">
      <w:start w:val="1"/>
      <w:numFmt w:val="lowerLetter"/>
      <w:lvlText w:val="(%3)"/>
      <w:lvlJc w:val="left"/>
      <w:pPr>
        <w:tabs>
          <w:tab w:val="num" w:pos="720"/>
        </w:tabs>
        <w:ind w:left="720" w:hanging="720"/>
      </w:pPr>
      <w:rPr>
        <w:rFonts w:ascii="Times New Roman" w:hAnsi="Times New Roman" w:hint="default"/>
        <w:b w:val="0"/>
        <w:i w:val="0"/>
        <w:caps w:val="0"/>
        <w:color w:val="auto"/>
        <w:sz w:val="21"/>
        <w:szCs w:val="21"/>
        <w:u w:val="none"/>
        <w:lang w:val="en-GB"/>
      </w:rPr>
    </w:lvl>
    <w:lvl w:ilvl="3">
      <w:start w:val="1"/>
      <w:numFmt w:val="lowerRoman"/>
      <w:lvlText w:val="(%4)"/>
      <w:lvlJc w:val="right"/>
      <w:pPr>
        <w:tabs>
          <w:tab w:val="num" w:pos="1440"/>
        </w:tabs>
        <w:ind w:left="1440" w:hanging="216"/>
      </w:pPr>
      <w:rPr>
        <w:rFonts w:ascii="Times New Roman" w:hAnsi="Times New Roman" w:hint="default"/>
        <w:b w:val="0"/>
        <w:i w:val="0"/>
        <w:caps w:val="0"/>
        <w:color w:val="auto"/>
        <w:u w:val="none"/>
        <w:lang w:val="es-ES_tradnl"/>
      </w:rPr>
    </w:lvl>
    <w:lvl w:ilvl="4">
      <w:start w:val="1"/>
      <w:numFmt w:val="upperLetter"/>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34" w15:restartNumberingAfterBreak="0">
    <w:nsid w:val="6CD0407B"/>
    <w:multiLevelType w:val="multilevel"/>
    <w:tmpl w:val="02DAB95E"/>
    <w:name w:val="Num"/>
    <w:lvl w:ilvl="0">
      <w:start w:val="1"/>
      <w:numFmt w:val="decimal"/>
      <w:pStyle w:val="Parties"/>
      <w:lvlText w:val="(%1)"/>
      <w:lvlJc w:val="left"/>
      <w:pPr>
        <w:tabs>
          <w:tab w:val="num" w:pos="720"/>
        </w:tabs>
        <w:ind w:left="720" w:hanging="720"/>
      </w:pPr>
      <w:rPr>
        <w:rFonts w:hint="default"/>
        <w:b w:val="0"/>
      </w:rPr>
    </w:lvl>
    <w:lvl w:ilvl="1">
      <w:start w:val="1"/>
      <w:numFmt w:val="upperLetter"/>
      <w:pStyle w:val="Recitals"/>
      <w:lvlText w:val="(%2)"/>
      <w:lvlJc w:val="left"/>
      <w:pPr>
        <w:tabs>
          <w:tab w:val="num" w:pos="720"/>
        </w:tabs>
        <w:ind w:left="720" w:hanging="720"/>
      </w:pPr>
      <w:rPr>
        <w:rFonts w:hint="default"/>
        <w:b w:val="0"/>
        <w:i w:val="0"/>
      </w:rPr>
    </w:lvl>
    <w:lvl w:ilvl="2">
      <w:start w:val="1"/>
      <w:numFmt w:val="decimal"/>
      <w:pStyle w:val="Num1"/>
      <w:lvlText w:val="%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F025FAA"/>
    <w:multiLevelType w:val="multilevel"/>
    <w:tmpl w:val="49BADA2E"/>
    <w:name w:val="AODef"/>
    <w:lvl w:ilvl="0">
      <w:start w:val="1"/>
      <w:numFmt w:val="none"/>
      <w:lvlRestart w:val="0"/>
      <w:pStyle w:val="AODefHead"/>
      <w:suff w:val="nothing"/>
      <w:lvlText w:val=""/>
      <w:lvlJc w:val="left"/>
      <w:pPr>
        <w:ind w:left="720" w:firstLine="0"/>
      </w:pPr>
      <w:rPr>
        <w:rFonts w:hint="default"/>
      </w:rPr>
    </w:lvl>
    <w:lvl w:ilvl="1">
      <w:start w:val="1"/>
      <w:numFmt w:val="none"/>
      <w:pStyle w:val="AODefPara"/>
      <w:suff w:val="nothing"/>
      <w:lvlText w:val=""/>
      <w:lvlJc w:val="left"/>
      <w:pPr>
        <w:ind w:left="720" w:firstLine="0"/>
      </w:pPr>
      <w:rPr>
        <w:rFonts w:hint="default"/>
      </w:rPr>
    </w:lvl>
    <w:lvl w:ilvl="2">
      <w:start w:val="1"/>
      <w:numFmt w:val="lowerLetter"/>
      <w:pStyle w:val="AODefParaL2"/>
      <w:lvlText w:val="(%3)"/>
      <w:lvlJc w:val="left"/>
      <w:pPr>
        <w:tabs>
          <w:tab w:val="num" w:pos="1440"/>
        </w:tabs>
        <w:ind w:left="1440" w:hanging="720"/>
      </w:pPr>
      <w:rPr>
        <w:rFonts w:hint="default"/>
      </w:rPr>
    </w:lvl>
    <w:lvl w:ilvl="3">
      <w:start w:val="1"/>
      <w:numFmt w:val="lowerRoman"/>
      <w:pStyle w:val="AODefParaL3"/>
      <w:lvlText w:val="(%4)"/>
      <w:lvlJc w:val="left"/>
      <w:pPr>
        <w:tabs>
          <w:tab w:val="num" w:pos="1440"/>
        </w:tabs>
        <w:ind w:left="1440" w:hanging="720"/>
      </w:pPr>
      <w:rPr>
        <w:rFonts w:hint="default"/>
      </w:rPr>
    </w:lvl>
    <w:lvl w:ilvl="4">
      <w:start w:val="1"/>
      <w:numFmt w:val="lowerLetter"/>
      <w:pStyle w:val="AODefParaL4"/>
      <w:lvlText w:val="(%5)"/>
      <w:lvlJc w:val="left"/>
      <w:pPr>
        <w:tabs>
          <w:tab w:val="num" w:pos="2160"/>
        </w:tabs>
        <w:ind w:left="2160" w:hanging="720"/>
      </w:pPr>
      <w:rPr>
        <w:rFonts w:hint="default"/>
      </w:rPr>
    </w:lvl>
    <w:lvl w:ilvl="5">
      <w:start w:val="1"/>
      <w:numFmt w:val="lowerRoman"/>
      <w:pStyle w:val="AODefParaL5"/>
      <w:lvlText w:val="(%6)"/>
      <w:lvlJc w:val="left"/>
      <w:pPr>
        <w:tabs>
          <w:tab w:val="num" w:pos="2160"/>
        </w:tabs>
        <w:ind w:left="2160" w:hanging="720"/>
      </w:pPr>
      <w:rPr>
        <w:rFonts w:hint="default"/>
      </w:rPr>
    </w:lvl>
    <w:lvl w:ilvl="6">
      <w:start w:val="1"/>
      <w:numFmt w:val="upperLetter"/>
      <w:pStyle w:val="AODefParaL6"/>
      <w:lvlText w:val="(%7)"/>
      <w:lvlJc w:val="left"/>
      <w:pPr>
        <w:tabs>
          <w:tab w:val="num" w:pos="2160"/>
        </w:tabs>
        <w:ind w:left="2160" w:hanging="720"/>
      </w:pPr>
      <w:rPr>
        <w:rFonts w:hint="default"/>
      </w:rPr>
    </w:lvl>
    <w:lvl w:ilvl="7">
      <w:start w:val="1"/>
      <w:numFmt w:val="decimal"/>
      <w:pStyle w:val="AODefParaL7"/>
      <w:lvlText w:val="(%8)"/>
      <w:lvlJc w:val="left"/>
      <w:pPr>
        <w:tabs>
          <w:tab w:val="num" w:pos="1440"/>
        </w:tabs>
        <w:ind w:left="1440" w:hanging="720"/>
      </w:pPr>
      <w:rPr>
        <w:rFonts w:hint="default"/>
      </w:rPr>
    </w:lvl>
    <w:lvl w:ilvl="8">
      <w:start w:val="1"/>
      <w:numFmt w:val="decimal"/>
      <w:pStyle w:val="AODefParaL8"/>
      <w:lvlText w:val="(%9)"/>
      <w:lvlJc w:val="left"/>
      <w:pPr>
        <w:tabs>
          <w:tab w:val="num" w:pos="2160"/>
        </w:tabs>
        <w:ind w:left="2160" w:hanging="720"/>
      </w:pPr>
      <w:rPr>
        <w:rFonts w:hint="default"/>
      </w:rPr>
    </w:lvl>
  </w:abstractNum>
  <w:abstractNum w:abstractNumId="36"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7" w15:restartNumberingAfterBreak="0">
    <w:nsid w:val="6FA84ED4"/>
    <w:multiLevelType w:val="hybridMultilevel"/>
    <w:tmpl w:val="0CAC7394"/>
    <w:lvl w:ilvl="0" w:tplc="F38E559A">
      <w:start w:val="1"/>
      <w:numFmt w:val="decimal"/>
      <w:pStyle w:val="AO10"/>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9B29CD"/>
    <w:multiLevelType w:val="hybridMultilevel"/>
    <w:tmpl w:val="9FDA2064"/>
    <w:name w:val="PA Alpha List indent 1.5"/>
    <w:lvl w:ilvl="0" w:tplc="8EEA1466">
      <w:start w:val="1"/>
      <w:numFmt w:val="lowerLetter"/>
      <w:pStyle w:val="PAAlpha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E255EF"/>
    <w:multiLevelType w:val="hybridMultilevel"/>
    <w:tmpl w:val="1474F218"/>
    <w:lvl w:ilvl="0" w:tplc="9232205A">
      <w:start w:val="18"/>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FC1ADE"/>
    <w:multiLevelType w:val="multilevel"/>
    <w:tmpl w:val="9A8691D8"/>
    <w:name w:val="PartiesStyle"/>
    <w:lvl w:ilvl="0">
      <w:start w:val="1"/>
      <w:numFmt w:val="decimal"/>
      <w:pStyle w:val="Parties1"/>
      <w:lvlText w:val="(%1)"/>
      <w:lvlJc w:val="left"/>
      <w:pPr>
        <w:tabs>
          <w:tab w:val="num" w:pos="720"/>
        </w:tabs>
        <w:ind w:left="720" w:hanging="720"/>
      </w:pPr>
      <w:rPr>
        <w:rFonts w:hint="default"/>
        <w:b w:val="0"/>
      </w:rPr>
    </w:lvl>
    <w:lvl w:ilvl="1">
      <w:start w:val="1"/>
      <w:numFmt w:val="upperLetter"/>
      <w:pStyle w:val="Parties2"/>
      <w:lvlText w:val="(%2)"/>
      <w:lvlJc w:val="left"/>
      <w:pPr>
        <w:tabs>
          <w:tab w:val="num" w:pos="720"/>
        </w:tabs>
        <w:ind w:left="720" w:hanging="72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1" w15:restartNumberingAfterBreak="0">
    <w:nsid w:val="761544F7"/>
    <w:multiLevelType w:val="multilevel"/>
    <w:tmpl w:val="0A4A29AE"/>
    <w:name w:val="AOGen1"/>
    <w:lvl w:ilvl="0">
      <w:start w:val="1"/>
      <w:numFmt w:val="decimal"/>
      <w:lvlRestart w:val="0"/>
      <w:pStyle w:val="AOGenNum1"/>
      <w:lvlText w:val="%1."/>
      <w:lvlJc w:val="left"/>
      <w:pPr>
        <w:tabs>
          <w:tab w:val="num" w:pos="720"/>
        </w:tabs>
        <w:ind w:left="720" w:hanging="720"/>
      </w:pPr>
      <w:rPr>
        <w:rFonts w:hint="default"/>
      </w:rPr>
    </w:lvl>
    <w:lvl w:ilvl="1">
      <w:start w:val="1"/>
      <w:numFmt w:val="decimal"/>
      <w:pStyle w:val="AOGenNum1Para"/>
      <w:lvlText w:val="%1.%2"/>
      <w:lvlJc w:val="left"/>
      <w:pPr>
        <w:tabs>
          <w:tab w:val="num" w:pos="720"/>
        </w:tabs>
        <w:ind w:left="720" w:hanging="720"/>
      </w:pPr>
      <w:rPr>
        <w:rFonts w:hint="default"/>
        <w:b w:val="0"/>
      </w:rPr>
    </w:lvl>
    <w:lvl w:ilvl="2">
      <w:start w:val="1"/>
      <w:numFmt w:val="lowerLetter"/>
      <w:pStyle w:val="AOGenNum1List"/>
      <w:lvlText w:val="(%3)"/>
      <w:lvlJc w:val="left"/>
      <w:pPr>
        <w:tabs>
          <w:tab w:val="num" w:pos="720"/>
        </w:tabs>
        <w:ind w:left="720" w:hanging="720"/>
      </w:pPr>
      <w:rPr>
        <w:rFonts w:hint="default"/>
      </w:rPr>
    </w:lvl>
    <w:lvl w:ilvl="3">
      <w:start w:val="1"/>
      <w:numFmt w:val="lowerLetter"/>
      <w:pStyle w:val="AOGenNum1List2"/>
      <w:lvlText w:val="(%4)"/>
      <w:lvlJc w:val="left"/>
      <w:pPr>
        <w:tabs>
          <w:tab w:val="num" w:pos="1440"/>
        </w:tabs>
        <w:ind w:left="1440" w:hanging="720"/>
      </w:pPr>
    </w:lvl>
    <w:lvl w:ilvl="4">
      <w:start w:val="1"/>
      <w:numFmt w:val="lowerRoman"/>
      <w:pStyle w:val="AOGenNum1List3"/>
      <w:lvlText w:val="(%5)"/>
      <w:lvlJc w:val="left"/>
      <w:pPr>
        <w:tabs>
          <w:tab w:val="num" w:pos="1440"/>
        </w:tabs>
        <w:ind w:left="1440" w:hanging="720"/>
      </w:pPr>
      <w:rPr>
        <w:rFonts w:hint="default"/>
      </w:rPr>
    </w:lvl>
    <w:lvl w:ilvl="5">
      <w:start w:val="1"/>
      <w:numFmt w:val="lowerRoman"/>
      <w:pStyle w:val="AOGenNum1List4"/>
      <w:lvlText w:val="(%6)"/>
      <w:lvlJc w:val="left"/>
      <w:pPr>
        <w:tabs>
          <w:tab w:val="num" w:pos="2160"/>
        </w:tabs>
        <w:ind w:left="2160" w:hanging="720"/>
      </w:pPr>
      <w:rPr>
        <w:rFonts w:ascii="Times New Roman" w:hAnsi="Times New Roman" w:cs="Times New Roman" w:hint="default"/>
      </w:rPr>
    </w:lvl>
    <w:lvl w:ilvl="6">
      <w:start w:val="1"/>
      <w:numFmt w:val="upperLetter"/>
      <w:pStyle w:val="AOGenNum1List5"/>
      <w:lvlText w:val="(%7)"/>
      <w:lvlJc w:val="left"/>
      <w:pPr>
        <w:tabs>
          <w:tab w:val="num" w:pos="2160"/>
        </w:tabs>
        <w:ind w:left="2160" w:hanging="720"/>
      </w:pPr>
      <w:rPr>
        <w:rFonts w:ascii="Times New Roman" w:hAnsi="Times New Roman" w:cs="Times New Roman" w:hint="default"/>
      </w:rPr>
    </w:lvl>
    <w:lvl w:ilvl="7">
      <w:start w:val="1"/>
      <w:numFmt w:val="upperLetter"/>
      <w:pStyle w:val="AOGenNum1List6"/>
      <w:lvlText w:val="(%8)"/>
      <w:lvlJc w:val="left"/>
      <w:pPr>
        <w:tabs>
          <w:tab w:val="num" w:pos="2880"/>
        </w:tabs>
        <w:ind w:left="2880" w:hanging="720"/>
      </w:pPr>
      <w:rPr>
        <w:rFonts w:hint="default"/>
      </w:rPr>
    </w:lvl>
    <w:lvl w:ilvl="8">
      <w:start w:val="1"/>
      <w:numFmt w:val="upperRoman"/>
      <w:pStyle w:val="AOGenNum1List7"/>
      <w:lvlText w:val="%9."/>
      <w:lvlJc w:val="left"/>
      <w:pPr>
        <w:tabs>
          <w:tab w:val="num" w:pos="3600"/>
        </w:tabs>
        <w:ind w:left="3600" w:hanging="720"/>
      </w:pPr>
      <w:rPr>
        <w:rFonts w:hint="default"/>
      </w:rPr>
    </w:lvl>
  </w:abstractNum>
  <w:abstractNum w:abstractNumId="42" w15:restartNumberingAfterBreak="0">
    <w:nsid w:val="7BCD3DD8"/>
    <w:multiLevelType w:val="multilevel"/>
    <w:tmpl w:val="0ED8B9A6"/>
    <w:name w:val="AltH1toH6Ashurst"/>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22"/>
        <w:szCs w:val="22"/>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7EB65E29"/>
    <w:multiLevelType w:val="multilevel"/>
    <w:tmpl w:val="9D6E324E"/>
    <w:name w:val="AODoc"/>
    <w:lvl w:ilvl="0">
      <w:start w:val="1"/>
      <w:numFmt w:val="none"/>
      <w:pStyle w:val="AODocTxt"/>
      <w:suff w:val="nothing"/>
      <w:lvlText w:val="%1"/>
      <w:lvlJc w:val="left"/>
      <w:pPr>
        <w:ind w:left="0" w:firstLine="0"/>
      </w:pPr>
      <w:rPr>
        <w:rFonts w:hint="default"/>
      </w:rPr>
    </w:lvl>
    <w:lvl w:ilvl="1">
      <w:start w:val="1"/>
      <w:numFmt w:val="none"/>
      <w:pStyle w:val="AODocTxtL1"/>
      <w:suff w:val="nothing"/>
      <w:lvlText w:val="%2"/>
      <w:lvlJc w:val="left"/>
      <w:pPr>
        <w:ind w:left="720" w:firstLine="0"/>
      </w:pPr>
      <w:rPr>
        <w:rFonts w:hint="default"/>
      </w:rPr>
    </w:lvl>
    <w:lvl w:ilvl="2">
      <w:start w:val="1"/>
      <w:numFmt w:val="none"/>
      <w:pStyle w:val="AODocTxtL2"/>
      <w:suff w:val="nothing"/>
      <w:lvlText w:val="%3"/>
      <w:lvlJc w:val="left"/>
      <w:pPr>
        <w:ind w:left="1440" w:firstLine="0"/>
      </w:pPr>
      <w:rPr>
        <w:rFonts w:hint="default"/>
      </w:rPr>
    </w:lvl>
    <w:lvl w:ilvl="3">
      <w:start w:val="1"/>
      <w:numFmt w:val="none"/>
      <w:pStyle w:val="AODocTxtL3"/>
      <w:suff w:val="nothing"/>
      <w:lvlText w:val=""/>
      <w:lvlJc w:val="left"/>
      <w:pPr>
        <w:ind w:left="2160" w:firstLine="0"/>
      </w:pPr>
      <w:rPr>
        <w:rFonts w:hint="default"/>
      </w:rPr>
    </w:lvl>
    <w:lvl w:ilvl="4">
      <w:start w:val="1"/>
      <w:numFmt w:val="none"/>
      <w:pStyle w:val="AODocTxtL4"/>
      <w:suff w:val="nothing"/>
      <w:lvlText w:val=""/>
      <w:lvlJc w:val="left"/>
      <w:pPr>
        <w:ind w:left="2880" w:firstLine="0"/>
      </w:pPr>
      <w:rPr>
        <w:rFonts w:hint="default"/>
      </w:rPr>
    </w:lvl>
    <w:lvl w:ilvl="5">
      <w:start w:val="1"/>
      <w:numFmt w:val="none"/>
      <w:pStyle w:val="AODocTxtL5"/>
      <w:suff w:val="nothing"/>
      <w:lvlText w:val=""/>
      <w:lvlJc w:val="left"/>
      <w:pPr>
        <w:ind w:left="3600" w:firstLine="0"/>
      </w:pPr>
      <w:rPr>
        <w:rFonts w:hint="default"/>
      </w:rPr>
    </w:lvl>
    <w:lvl w:ilvl="6">
      <w:start w:val="1"/>
      <w:numFmt w:val="none"/>
      <w:pStyle w:val="AODocTxtL6"/>
      <w:suff w:val="nothing"/>
      <w:lvlText w:val=""/>
      <w:lvlJc w:val="left"/>
      <w:pPr>
        <w:ind w:left="4321" w:firstLine="0"/>
      </w:pPr>
      <w:rPr>
        <w:rFonts w:hint="default"/>
      </w:rPr>
    </w:lvl>
    <w:lvl w:ilvl="7">
      <w:start w:val="1"/>
      <w:numFmt w:val="none"/>
      <w:pStyle w:val="AODocTxtL7"/>
      <w:suff w:val="nothing"/>
      <w:lvlText w:val="%8"/>
      <w:lvlJc w:val="left"/>
      <w:pPr>
        <w:ind w:left="5041" w:firstLine="0"/>
      </w:pPr>
      <w:rPr>
        <w:rFonts w:hint="default"/>
      </w:rPr>
    </w:lvl>
    <w:lvl w:ilvl="8">
      <w:start w:val="1"/>
      <w:numFmt w:val="none"/>
      <w:pStyle w:val="AODocTxtL8"/>
      <w:suff w:val="nothing"/>
      <w:lvlText w:val=""/>
      <w:lvlJc w:val="left"/>
      <w:pPr>
        <w:ind w:left="5761" w:firstLine="0"/>
      </w:pPr>
      <w:rPr>
        <w:rFonts w:hint="default"/>
      </w:rPr>
    </w:lvl>
  </w:abstractNum>
  <w:num w:numId="1" w16cid:durableId="1666780081">
    <w:abstractNumId w:val="41"/>
  </w:num>
  <w:num w:numId="2" w16cid:durableId="133371610">
    <w:abstractNumId w:val="14"/>
  </w:num>
  <w:num w:numId="3" w16cid:durableId="1019308709">
    <w:abstractNumId w:val="20"/>
  </w:num>
  <w:num w:numId="4" w16cid:durableId="786510230">
    <w:abstractNumId w:val="35"/>
  </w:num>
  <w:num w:numId="5" w16cid:durableId="1685089655">
    <w:abstractNumId w:val="1"/>
  </w:num>
  <w:num w:numId="6" w16cid:durableId="46343513">
    <w:abstractNumId w:val="21"/>
  </w:num>
  <w:num w:numId="7" w16cid:durableId="814370930">
    <w:abstractNumId w:val="13"/>
  </w:num>
  <w:num w:numId="8" w16cid:durableId="1593854988">
    <w:abstractNumId w:val="9"/>
  </w:num>
  <w:num w:numId="9" w16cid:durableId="2079010236">
    <w:abstractNumId w:val="6"/>
  </w:num>
  <w:num w:numId="10" w16cid:durableId="986319418">
    <w:abstractNumId w:val="36"/>
  </w:num>
  <w:num w:numId="11" w16cid:durableId="1224021513">
    <w:abstractNumId w:val="19"/>
  </w:num>
  <w:num w:numId="12" w16cid:durableId="2083482309">
    <w:abstractNumId w:val="25"/>
  </w:num>
  <w:num w:numId="13" w16cid:durableId="833952881">
    <w:abstractNumId w:val="10"/>
  </w:num>
  <w:num w:numId="14" w16cid:durableId="79910836">
    <w:abstractNumId w:val="32"/>
  </w:num>
  <w:num w:numId="15" w16cid:durableId="675153977">
    <w:abstractNumId w:val="3"/>
  </w:num>
  <w:num w:numId="16" w16cid:durableId="117067799">
    <w:abstractNumId w:val="4"/>
  </w:num>
  <w:num w:numId="17" w16cid:durableId="1969241567">
    <w:abstractNumId w:val="31"/>
  </w:num>
  <w:num w:numId="18" w16cid:durableId="511577687">
    <w:abstractNumId w:val="24"/>
  </w:num>
  <w:num w:numId="19" w16cid:durableId="95252968">
    <w:abstractNumId w:val="42"/>
  </w:num>
  <w:num w:numId="20" w16cid:durableId="1812090382">
    <w:abstractNumId w:val="33"/>
  </w:num>
  <w:num w:numId="21" w16cid:durableId="3870458">
    <w:abstractNumId w:val="0"/>
  </w:num>
  <w:num w:numId="22" w16cid:durableId="12077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16cid:durableId="1290818517">
    <w:abstractNumId w:val="16"/>
  </w:num>
  <w:num w:numId="24" w16cid:durableId="1089234206">
    <w:abstractNumId w:val="27"/>
    <w:lvlOverride w:ilvl="0">
      <w:lvl w:ilvl="0">
        <w:start w:val="1"/>
        <w:numFmt w:val="none"/>
        <w:pStyle w:val="Heading1-Language2"/>
        <w:suff w:val="nothing"/>
        <w:lvlText w:val=""/>
        <w:lvlJc w:val="left"/>
        <w:pPr>
          <w:ind w:left="0" w:firstLine="0"/>
        </w:pPr>
        <w:rPr>
          <w:rFonts w:hint="default"/>
        </w:rPr>
      </w:lvl>
    </w:lvlOverride>
    <w:lvlOverride w:ilvl="1">
      <w:lvl w:ilvl="1">
        <w:start w:val="1"/>
        <w:numFmt w:val="decimal"/>
        <w:pStyle w:val="Heading2-Language2"/>
        <w:lvlText w:val="%2."/>
        <w:lvlJc w:val="left"/>
        <w:pPr>
          <w:tabs>
            <w:tab w:val="num" w:pos="425"/>
          </w:tabs>
          <w:ind w:left="425" w:hanging="425"/>
        </w:pPr>
        <w:rPr>
          <w:rFonts w:hint="default"/>
        </w:rPr>
      </w:lvl>
    </w:lvlOverride>
    <w:lvlOverride w:ilvl="2">
      <w:lvl w:ilvl="2">
        <w:start w:val="1"/>
        <w:numFmt w:val="decimal"/>
        <w:pStyle w:val="Heading3-Language2"/>
        <w:lvlText w:val="%2.%3"/>
        <w:lvlJc w:val="left"/>
        <w:pPr>
          <w:tabs>
            <w:tab w:val="num" w:pos="425"/>
          </w:tabs>
          <w:ind w:left="425" w:hanging="425"/>
        </w:pPr>
        <w:rPr>
          <w:rFonts w:hint="default"/>
        </w:rPr>
      </w:lvl>
    </w:lvlOverride>
    <w:lvlOverride w:ilvl="3">
      <w:lvl w:ilvl="3">
        <w:start w:val="1"/>
        <w:numFmt w:val="lowerLetter"/>
        <w:pStyle w:val="Heading4-Language2"/>
        <w:lvlText w:val="(%4)"/>
        <w:lvlJc w:val="left"/>
        <w:pPr>
          <w:tabs>
            <w:tab w:val="num" w:pos="851"/>
          </w:tabs>
          <w:ind w:left="851" w:hanging="426"/>
        </w:pPr>
        <w:rPr>
          <w:rFonts w:hint="default"/>
        </w:rPr>
      </w:lvl>
    </w:lvlOverride>
    <w:lvlOverride w:ilvl="4">
      <w:lvl w:ilvl="4">
        <w:start w:val="1"/>
        <w:numFmt w:val="lowerRoman"/>
        <w:pStyle w:val="Heading5-Language2"/>
        <w:lvlText w:val="(%5)"/>
        <w:lvlJc w:val="left"/>
        <w:pPr>
          <w:tabs>
            <w:tab w:val="num" w:pos="1276"/>
          </w:tabs>
          <w:ind w:left="1276" w:hanging="425"/>
        </w:pPr>
        <w:rPr>
          <w:rFonts w:hint="default"/>
        </w:rPr>
      </w:lvl>
    </w:lvlOverride>
    <w:lvlOverride w:ilvl="5">
      <w:lvl w:ilvl="5">
        <w:start w:val="1"/>
        <w:numFmt w:val="upperLetter"/>
        <w:pStyle w:val="Heading6-Language2"/>
        <w:lvlText w:val="(%6)"/>
        <w:lvlJc w:val="left"/>
        <w:pPr>
          <w:tabs>
            <w:tab w:val="num" w:pos="1701"/>
          </w:tabs>
          <w:ind w:left="1701" w:hanging="425"/>
        </w:pPr>
        <w:rPr>
          <w:rFonts w:hint="default"/>
        </w:rPr>
      </w:lvl>
    </w:lvlOverride>
    <w:lvlOverride w:ilvl="6">
      <w:lvl w:ilvl="6">
        <w:start w:val="1"/>
        <w:numFmt w:val="decimal"/>
        <w:pStyle w:val="Heading7-Language2"/>
        <w:lvlText w:val="(%7)"/>
        <w:lvlJc w:val="left"/>
        <w:pPr>
          <w:tabs>
            <w:tab w:val="num" w:pos="2126"/>
          </w:tabs>
          <w:ind w:left="2126" w:hanging="425"/>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5" w16cid:durableId="1547982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4984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297190">
    <w:abstractNumId w:val="34"/>
  </w:num>
  <w:num w:numId="28" w16cid:durableId="118689709">
    <w:abstractNumId w:val="30"/>
  </w:num>
  <w:num w:numId="29" w16cid:durableId="1949923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7833177">
    <w:abstractNumId w:val="40"/>
  </w:num>
  <w:num w:numId="31" w16cid:durableId="854808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84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9030635">
    <w:abstractNumId w:val="37"/>
  </w:num>
  <w:num w:numId="34" w16cid:durableId="1619723702">
    <w:abstractNumId w:val="28"/>
  </w:num>
  <w:num w:numId="35" w16cid:durableId="1796362951">
    <w:abstractNumId w:val="7"/>
  </w:num>
  <w:num w:numId="36" w16cid:durableId="1677227356">
    <w:abstractNumId w:val="12"/>
  </w:num>
  <w:num w:numId="37" w16cid:durableId="1572737893">
    <w:abstractNumId w:val="38"/>
  </w:num>
  <w:num w:numId="38" w16cid:durableId="1551109032">
    <w:abstractNumId w:val="15"/>
  </w:num>
  <w:num w:numId="39" w16cid:durableId="2047442939">
    <w:abstractNumId w:val="17"/>
  </w:num>
  <w:num w:numId="40" w16cid:durableId="912157967">
    <w:abstractNumId w:val="22"/>
  </w:num>
  <w:num w:numId="41" w16cid:durableId="1461142545">
    <w:abstractNumId w:val="11"/>
  </w:num>
  <w:num w:numId="42" w16cid:durableId="1361392575">
    <w:abstractNumId w:val="26"/>
  </w:num>
  <w:num w:numId="43" w16cid:durableId="121192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6785636">
    <w:abstractNumId w:val="18"/>
  </w:num>
  <w:num w:numId="45" w16cid:durableId="1293632790">
    <w:abstractNumId w:val="43"/>
  </w:num>
  <w:num w:numId="46" w16cid:durableId="106318950">
    <w:abstractNumId w:val="29"/>
  </w:num>
  <w:num w:numId="47" w16cid:durableId="1984579454">
    <w:abstractNumId w:val="29"/>
  </w:num>
  <w:num w:numId="48" w16cid:durableId="424958212">
    <w:abstractNumId w:val="29"/>
  </w:num>
  <w:num w:numId="49" w16cid:durableId="797839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21060159">
    <w:abstractNumId w:val="23"/>
  </w:num>
  <w:num w:numId="51" w16cid:durableId="9164013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29846173">
    <w:abstractNumId w:val="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04669376">
    <w:abstractNumId w:val="23"/>
  </w:num>
  <w:num w:numId="54" w16cid:durableId="1314917280">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00455520">
    <w:abstractNumId w:val="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1277720">
    <w:abstractNumId w:val="2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9312290">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6684210">
    <w:abstractNumId w:val="2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60673010">
    <w:abstractNumId w:val="22"/>
  </w:num>
  <w:num w:numId="60" w16cid:durableId="28536408">
    <w:abstractNumId w:val="22"/>
  </w:num>
  <w:num w:numId="61" w16cid:durableId="1243682401">
    <w:abstractNumId w:val="22"/>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49611491">
    <w:abstractNumId w:val="22"/>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7719133">
    <w:abstractNumId w:val="37"/>
    <w:lvlOverride w:ilvl="0">
      <w:startOverride w:val="77"/>
    </w:lvlOverride>
  </w:num>
  <w:num w:numId="64" w16cid:durableId="1880820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378362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88631789">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2079595">
    <w:abstractNumId w:val="8"/>
  </w:num>
  <w:num w:numId="68" w16cid:durableId="1507357993">
    <w:abstractNumId w:val="39"/>
  </w:num>
  <w:num w:numId="69" w16cid:durableId="328794740">
    <w:abstractNumId w:val="23"/>
  </w:num>
  <w:num w:numId="70" w16cid:durableId="2064793609">
    <w:abstractNumId w:val="23"/>
  </w:num>
  <w:num w:numId="71" w16cid:durableId="20321000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IE" w:vendorID="64" w:dllVersion="6" w:nlCheck="1" w:checkStyle="1"/>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it-IT"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A7"/>
    <w:rsid w:val="0000051F"/>
    <w:rsid w:val="000047C3"/>
    <w:rsid w:val="00006EFC"/>
    <w:rsid w:val="000105C8"/>
    <w:rsid w:val="0002022A"/>
    <w:rsid w:val="0002066B"/>
    <w:rsid w:val="0002227D"/>
    <w:rsid w:val="000223E1"/>
    <w:rsid w:val="000311FB"/>
    <w:rsid w:val="0003594F"/>
    <w:rsid w:val="00035B0B"/>
    <w:rsid w:val="00035DF9"/>
    <w:rsid w:val="0004586B"/>
    <w:rsid w:val="000472AF"/>
    <w:rsid w:val="0004794E"/>
    <w:rsid w:val="000520A8"/>
    <w:rsid w:val="0005511C"/>
    <w:rsid w:val="00055A00"/>
    <w:rsid w:val="00057276"/>
    <w:rsid w:val="00057835"/>
    <w:rsid w:val="000606FF"/>
    <w:rsid w:val="0006262F"/>
    <w:rsid w:val="00064098"/>
    <w:rsid w:val="00073C04"/>
    <w:rsid w:val="00076610"/>
    <w:rsid w:val="00080E0C"/>
    <w:rsid w:val="00081866"/>
    <w:rsid w:val="00083181"/>
    <w:rsid w:val="0008452D"/>
    <w:rsid w:val="0008650A"/>
    <w:rsid w:val="000908A2"/>
    <w:rsid w:val="000926C9"/>
    <w:rsid w:val="000946DF"/>
    <w:rsid w:val="000A0408"/>
    <w:rsid w:val="000A1047"/>
    <w:rsid w:val="000A2667"/>
    <w:rsid w:val="000A4442"/>
    <w:rsid w:val="000A4FAD"/>
    <w:rsid w:val="000B363E"/>
    <w:rsid w:val="000B4683"/>
    <w:rsid w:val="000B56F4"/>
    <w:rsid w:val="000B6DA4"/>
    <w:rsid w:val="000B7B1A"/>
    <w:rsid w:val="000C04C1"/>
    <w:rsid w:val="000C506B"/>
    <w:rsid w:val="000D0385"/>
    <w:rsid w:val="000D0702"/>
    <w:rsid w:val="000D089E"/>
    <w:rsid w:val="000D0FF0"/>
    <w:rsid w:val="000D2069"/>
    <w:rsid w:val="000D3E9E"/>
    <w:rsid w:val="000D45C3"/>
    <w:rsid w:val="000D619A"/>
    <w:rsid w:val="000D6609"/>
    <w:rsid w:val="000E20D4"/>
    <w:rsid w:val="000E5D9E"/>
    <w:rsid w:val="000E7C7B"/>
    <w:rsid w:val="000F5334"/>
    <w:rsid w:val="001010C4"/>
    <w:rsid w:val="00104406"/>
    <w:rsid w:val="00105DD0"/>
    <w:rsid w:val="00105FF4"/>
    <w:rsid w:val="00107626"/>
    <w:rsid w:val="00107F27"/>
    <w:rsid w:val="00111788"/>
    <w:rsid w:val="00112055"/>
    <w:rsid w:val="0011694A"/>
    <w:rsid w:val="001241D8"/>
    <w:rsid w:val="00124DD2"/>
    <w:rsid w:val="00125B8C"/>
    <w:rsid w:val="00131437"/>
    <w:rsid w:val="00137772"/>
    <w:rsid w:val="001415E1"/>
    <w:rsid w:val="00143EBD"/>
    <w:rsid w:val="00147506"/>
    <w:rsid w:val="00153CD2"/>
    <w:rsid w:val="001564A3"/>
    <w:rsid w:val="001569A2"/>
    <w:rsid w:val="0016091B"/>
    <w:rsid w:val="00166882"/>
    <w:rsid w:val="00171474"/>
    <w:rsid w:val="001724C8"/>
    <w:rsid w:val="00173DC7"/>
    <w:rsid w:val="0017422B"/>
    <w:rsid w:val="00180919"/>
    <w:rsid w:val="00182BE5"/>
    <w:rsid w:val="001837F3"/>
    <w:rsid w:val="00185D44"/>
    <w:rsid w:val="00187F92"/>
    <w:rsid w:val="00194A8A"/>
    <w:rsid w:val="00195BC9"/>
    <w:rsid w:val="00197866"/>
    <w:rsid w:val="001A093C"/>
    <w:rsid w:val="001A0D0C"/>
    <w:rsid w:val="001A3272"/>
    <w:rsid w:val="001A7781"/>
    <w:rsid w:val="001B077A"/>
    <w:rsid w:val="001B0BCE"/>
    <w:rsid w:val="001B2EDC"/>
    <w:rsid w:val="001B3B4D"/>
    <w:rsid w:val="001C0644"/>
    <w:rsid w:val="001C143F"/>
    <w:rsid w:val="001C1ABD"/>
    <w:rsid w:val="001C529C"/>
    <w:rsid w:val="001D2F00"/>
    <w:rsid w:val="001D5651"/>
    <w:rsid w:val="001E1D91"/>
    <w:rsid w:val="001E7139"/>
    <w:rsid w:val="001E798B"/>
    <w:rsid w:val="001E79DF"/>
    <w:rsid w:val="001E7D80"/>
    <w:rsid w:val="001E7F76"/>
    <w:rsid w:val="001F10C1"/>
    <w:rsid w:val="001F66DC"/>
    <w:rsid w:val="0020166E"/>
    <w:rsid w:val="00201C91"/>
    <w:rsid w:val="002061F8"/>
    <w:rsid w:val="00207F8C"/>
    <w:rsid w:val="00210A06"/>
    <w:rsid w:val="00216197"/>
    <w:rsid w:val="002166C4"/>
    <w:rsid w:val="00216FF6"/>
    <w:rsid w:val="00220A90"/>
    <w:rsid w:val="00220C9C"/>
    <w:rsid w:val="00221CC9"/>
    <w:rsid w:val="00224EB1"/>
    <w:rsid w:val="0022680C"/>
    <w:rsid w:val="002271C4"/>
    <w:rsid w:val="0022747F"/>
    <w:rsid w:val="00231CCB"/>
    <w:rsid w:val="002366FE"/>
    <w:rsid w:val="00236E5A"/>
    <w:rsid w:val="002404E5"/>
    <w:rsid w:val="002431A6"/>
    <w:rsid w:val="00244F4C"/>
    <w:rsid w:val="00244FAC"/>
    <w:rsid w:val="00245C58"/>
    <w:rsid w:val="00245D63"/>
    <w:rsid w:val="00250394"/>
    <w:rsid w:val="00251D49"/>
    <w:rsid w:val="00253C73"/>
    <w:rsid w:val="00254A6F"/>
    <w:rsid w:val="00260D81"/>
    <w:rsid w:val="002635B6"/>
    <w:rsid w:val="00263728"/>
    <w:rsid w:val="00265DE0"/>
    <w:rsid w:val="00267FB5"/>
    <w:rsid w:val="0027253F"/>
    <w:rsid w:val="00273310"/>
    <w:rsid w:val="0027495C"/>
    <w:rsid w:val="00285CBD"/>
    <w:rsid w:val="00291BFB"/>
    <w:rsid w:val="002A01D2"/>
    <w:rsid w:val="002A04E7"/>
    <w:rsid w:val="002A2FEA"/>
    <w:rsid w:val="002A4EE3"/>
    <w:rsid w:val="002A5585"/>
    <w:rsid w:val="002A6F37"/>
    <w:rsid w:val="002B0298"/>
    <w:rsid w:val="002B0498"/>
    <w:rsid w:val="002B0CEE"/>
    <w:rsid w:val="002B7595"/>
    <w:rsid w:val="002B7CDA"/>
    <w:rsid w:val="002C0952"/>
    <w:rsid w:val="002C41AB"/>
    <w:rsid w:val="002C79F2"/>
    <w:rsid w:val="002D1ED7"/>
    <w:rsid w:val="002D510C"/>
    <w:rsid w:val="002E0DDE"/>
    <w:rsid w:val="002E152C"/>
    <w:rsid w:val="002E1F07"/>
    <w:rsid w:val="002E7687"/>
    <w:rsid w:val="002F1C49"/>
    <w:rsid w:val="002F2BFA"/>
    <w:rsid w:val="002F5E1C"/>
    <w:rsid w:val="002F7CFB"/>
    <w:rsid w:val="003011B5"/>
    <w:rsid w:val="00307988"/>
    <w:rsid w:val="00316E16"/>
    <w:rsid w:val="003174EB"/>
    <w:rsid w:val="00320EC9"/>
    <w:rsid w:val="00325FD6"/>
    <w:rsid w:val="003277FF"/>
    <w:rsid w:val="00333E24"/>
    <w:rsid w:val="00334F07"/>
    <w:rsid w:val="00340BB9"/>
    <w:rsid w:val="00342EF9"/>
    <w:rsid w:val="00346DF7"/>
    <w:rsid w:val="00347299"/>
    <w:rsid w:val="0035388E"/>
    <w:rsid w:val="003553C9"/>
    <w:rsid w:val="003577E1"/>
    <w:rsid w:val="00360E60"/>
    <w:rsid w:val="00363234"/>
    <w:rsid w:val="003636D4"/>
    <w:rsid w:val="00363F1F"/>
    <w:rsid w:val="00364CF2"/>
    <w:rsid w:val="00375A6D"/>
    <w:rsid w:val="00376353"/>
    <w:rsid w:val="00376C7D"/>
    <w:rsid w:val="003813A3"/>
    <w:rsid w:val="00386F69"/>
    <w:rsid w:val="00394F7A"/>
    <w:rsid w:val="00396D70"/>
    <w:rsid w:val="003975F5"/>
    <w:rsid w:val="003A0E9E"/>
    <w:rsid w:val="003A1C6A"/>
    <w:rsid w:val="003A4AC6"/>
    <w:rsid w:val="003A5EB1"/>
    <w:rsid w:val="003B4B11"/>
    <w:rsid w:val="003B71D6"/>
    <w:rsid w:val="003B74A9"/>
    <w:rsid w:val="003C22E2"/>
    <w:rsid w:val="003C35CF"/>
    <w:rsid w:val="003C4A38"/>
    <w:rsid w:val="003D369F"/>
    <w:rsid w:val="003D631E"/>
    <w:rsid w:val="003D6A08"/>
    <w:rsid w:val="003E7643"/>
    <w:rsid w:val="003F0FA0"/>
    <w:rsid w:val="003F11D3"/>
    <w:rsid w:val="0040128B"/>
    <w:rsid w:val="0040715F"/>
    <w:rsid w:val="00413F1B"/>
    <w:rsid w:val="00414207"/>
    <w:rsid w:val="004147F8"/>
    <w:rsid w:val="00415668"/>
    <w:rsid w:val="00415C2C"/>
    <w:rsid w:val="00415D61"/>
    <w:rsid w:val="00415E40"/>
    <w:rsid w:val="00417FAE"/>
    <w:rsid w:val="0042023B"/>
    <w:rsid w:val="00420248"/>
    <w:rsid w:val="00422528"/>
    <w:rsid w:val="00422B36"/>
    <w:rsid w:val="00422F96"/>
    <w:rsid w:val="0042380D"/>
    <w:rsid w:val="004313D6"/>
    <w:rsid w:val="00432A6C"/>
    <w:rsid w:val="00437779"/>
    <w:rsid w:val="00440C6E"/>
    <w:rsid w:val="00440C96"/>
    <w:rsid w:val="00453844"/>
    <w:rsid w:val="0045386B"/>
    <w:rsid w:val="00453D6A"/>
    <w:rsid w:val="0045533C"/>
    <w:rsid w:val="004561B2"/>
    <w:rsid w:val="00463113"/>
    <w:rsid w:val="0046333D"/>
    <w:rsid w:val="00465335"/>
    <w:rsid w:val="0046629F"/>
    <w:rsid w:val="0047162F"/>
    <w:rsid w:val="00474F22"/>
    <w:rsid w:val="00481523"/>
    <w:rsid w:val="00481E70"/>
    <w:rsid w:val="00481FC9"/>
    <w:rsid w:val="00487505"/>
    <w:rsid w:val="00495A19"/>
    <w:rsid w:val="00497167"/>
    <w:rsid w:val="004A1C24"/>
    <w:rsid w:val="004A22AD"/>
    <w:rsid w:val="004A6489"/>
    <w:rsid w:val="004B00B6"/>
    <w:rsid w:val="004B1F9F"/>
    <w:rsid w:val="004B26CD"/>
    <w:rsid w:val="004B39A3"/>
    <w:rsid w:val="004B606E"/>
    <w:rsid w:val="004B6D59"/>
    <w:rsid w:val="004C3D81"/>
    <w:rsid w:val="004C53F0"/>
    <w:rsid w:val="004C587E"/>
    <w:rsid w:val="004C60B0"/>
    <w:rsid w:val="004D0257"/>
    <w:rsid w:val="004D1011"/>
    <w:rsid w:val="004D41E5"/>
    <w:rsid w:val="004D43B0"/>
    <w:rsid w:val="004D524F"/>
    <w:rsid w:val="004D7AF9"/>
    <w:rsid w:val="004E0793"/>
    <w:rsid w:val="004E1813"/>
    <w:rsid w:val="004E1D6B"/>
    <w:rsid w:val="004E266C"/>
    <w:rsid w:val="004E685D"/>
    <w:rsid w:val="004E68AA"/>
    <w:rsid w:val="004F6EA3"/>
    <w:rsid w:val="005016D7"/>
    <w:rsid w:val="00503E65"/>
    <w:rsid w:val="005071C4"/>
    <w:rsid w:val="00515A5E"/>
    <w:rsid w:val="00516FDD"/>
    <w:rsid w:val="005247D0"/>
    <w:rsid w:val="00527B66"/>
    <w:rsid w:val="005302CC"/>
    <w:rsid w:val="00532CE4"/>
    <w:rsid w:val="00533047"/>
    <w:rsid w:val="005347BF"/>
    <w:rsid w:val="00542F68"/>
    <w:rsid w:val="00543188"/>
    <w:rsid w:val="00543DCA"/>
    <w:rsid w:val="00544005"/>
    <w:rsid w:val="00545817"/>
    <w:rsid w:val="005465BE"/>
    <w:rsid w:val="00546AA0"/>
    <w:rsid w:val="00551D49"/>
    <w:rsid w:val="00553B6D"/>
    <w:rsid w:val="00562C8D"/>
    <w:rsid w:val="00572C3C"/>
    <w:rsid w:val="00574867"/>
    <w:rsid w:val="00575AD3"/>
    <w:rsid w:val="0058291F"/>
    <w:rsid w:val="00582CF3"/>
    <w:rsid w:val="00584DC4"/>
    <w:rsid w:val="005927B4"/>
    <w:rsid w:val="00592D1B"/>
    <w:rsid w:val="005944A5"/>
    <w:rsid w:val="005A2417"/>
    <w:rsid w:val="005A3129"/>
    <w:rsid w:val="005A3DDC"/>
    <w:rsid w:val="005A7AC8"/>
    <w:rsid w:val="005B09F2"/>
    <w:rsid w:val="005B15EE"/>
    <w:rsid w:val="005B3033"/>
    <w:rsid w:val="005B3BD7"/>
    <w:rsid w:val="005B3BDF"/>
    <w:rsid w:val="005B7EFB"/>
    <w:rsid w:val="005C10EE"/>
    <w:rsid w:val="005C10F0"/>
    <w:rsid w:val="005C1C26"/>
    <w:rsid w:val="005C1CCA"/>
    <w:rsid w:val="005C2782"/>
    <w:rsid w:val="005C4A62"/>
    <w:rsid w:val="005C595A"/>
    <w:rsid w:val="005C6AC8"/>
    <w:rsid w:val="005C6F30"/>
    <w:rsid w:val="005D16AE"/>
    <w:rsid w:val="005D5CB3"/>
    <w:rsid w:val="005E0E5E"/>
    <w:rsid w:val="005E15A9"/>
    <w:rsid w:val="005E2E9D"/>
    <w:rsid w:val="005E5E8C"/>
    <w:rsid w:val="005F669D"/>
    <w:rsid w:val="00600384"/>
    <w:rsid w:val="00602517"/>
    <w:rsid w:val="0060424C"/>
    <w:rsid w:val="00604D76"/>
    <w:rsid w:val="00605946"/>
    <w:rsid w:val="006065F3"/>
    <w:rsid w:val="00610F7E"/>
    <w:rsid w:val="006136DF"/>
    <w:rsid w:val="00615973"/>
    <w:rsid w:val="00616781"/>
    <w:rsid w:val="00620E34"/>
    <w:rsid w:val="00624BE1"/>
    <w:rsid w:val="00625AF4"/>
    <w:rsid w:val="00625DF1"/>
    <w:rsid w:val="00630AD0"/>
    <w:rsid w:val="006310F5"/>
    <w:rsid w:val="006315FC"/>
    <w:rsid w:val="00631B5E"/>
    <w:rsid w:val="00633884"/>
    <w:rsid w:val="00640770"/>
    <w:rsid w:val="00642E89"/>
    <w:rsid w:val="00650E52"/>
    <w:rsid w:val="00651EF6"/>
    <w:rsid w:val="00666671"/>
    <w:rsid w:val="0066698F"/>
    <w:rsid w:val="00666D59"/>
    <w:rsid w:val="00675C8B"/>
    <w:rsid w:val="00677B84"/>
    <w:rsid w:val="0068157E"/>
    <w:rsid w:val="0068599B"/>
    <w:rsid w:val="00685FC6"/>
    <w:rsid w:val="00686DC7"/>
    <w:rsid w:val="00687F7D"/>
    <w:rsid w:val="0069150C"/>
    <w:rsid w:val="00696B17"/>
    <w:rsid w:val="00697721"/>
    <w:rsid w:val="006A0523"/>
    <w:rsid w:val="006A1A16"/>
    <w:rsid w:val="006A5AA0"/>
    <w:rsid w:val="006A7553"/>
    <w:rsid w:val="006B24A0"/>
    <w:rsid w:val="006B2A14"/>
    <w:rsid w:val="006B328C"/>
    <w:rsid w:val="006B5506"/>
    <w:rsid w:val="006B558F"/>
    <w:rsid w:val="006B654C"/>
    <w:rsid w:val="006B7861"/>
    <w:rsid w:val="006C1F14"/>
    <w:rsid w:val="006C5D16"/>
    <w:rsid w:val="006C6D54"/>
    <w:rsid w:val="006D0404"/>
    <w:rsid w:val="006D2C0F"/>
    <w:rsid w:val="006D4400"/>
    <w:rsid w:val="006D554B"/>
    <w:rsid w:val="006D6349"/>
    <w:rsid w:val="006E0A1C"/>
    <w:rsid w:val="006E2E0D"/>
    <w:rsid w:val="006E66FE"/>
    <w:rsid w:val="006F16CF"/>
    <w:rsid w:val="006F2F02"/>
    <w:rsid w:val="006F4DD9"/>
    <w:rsid w:val="006F5C37"/>
    <w:rsid w:val="006F6EFB"/>
    <w:rsid w:val="00700B44"/>
    <w:rsid w:val="00700CB7"/>
    <w:rsid w:val="00707E42"/>
    <w:rsid w:val="00710A2F"/>
    <w:rsid w:val="007163F1"/>
    <w:rsid w:val="007225C1"/>
    <w:rsid w:val="00722CDA"/>
    <w:rsid w:val="00724D6E"/>
    <w:rsid w:val="00727A92"/>
    <w:rsid w:val="00730573"/>
    <w:rsid w:val="00731EB2"/>
    <w:rsid w:val="00732480"/>
    <w:rsid w:val="00733C67"/>
    <w:rsid w:val="007432B6"/>
    <w:rsid w:val="0074569B"/>
    <w:rsid w:val="00751AAF"/>
    <w:rsid w:val="00752110"/>
    <w:rsid w:val="00757D02"/>
    <w:rsid w:val="00757DDB"/>
    <w:rsid w:val="007665F9"/>
    <w:rsid w:val="007670D2"/>
    <w:rsid w:val="00767522"/>
    <w:rsid w:val="00770A4C"/>
    <w:rsid w:val="00771EAB"/>
    <w:rsid w:val="0077416C"/>
    <w:rsid w:val="00775330"/>
    <w:rsid w:val="00775DED"/>
    <w:rsid w:val="00777DFC"/>
    <w:rsid w:val="0078350D"/>
    <w:rsid w:val="00786396"/>
    <w:rsid w:val="007902F6"/>
    <w:rsid w:val="007916D2"/>
    <w:rsid w:val="00792120"/>
    <w:rsid w:val="007A1FB1"/>
    <w:rsid w:val="007A42F9"/>
    <w:rsid w:val="007B0E85"/>
    <w:rsid w:val="007B6E48"/>
    <w:rsid w:val="007C63AF"/>
    <w:rsid w:val="007D211E"/>
    <w:rsid w:val="007D725B"/>
    <w:rsid w:val="007D75EC"/>
    <w:rsid w:val="007E2625"/>
    <w:rsid w:val="007F2535"/>
    <w:rsid w:val="007F757F"/>
    <w:rsid w:val="008051FA"/>
    <w:rsid w:val="0080543B"/>
    <w:rsid w:val="0080628F"/>
    <w:rsid w:val="008104E8"/>
    <w:rsid w:val="00810F73"/>
    <w:rsid w:val="008129E3"/>
    <w:rsid w:val="00813D2E"/>
    <w:rsid w:val="00814EB2"/>
    <w:rsid w:val="00815059"/>
    <w:rsid w:val="00821D6F"/>
    <w:rsid w:val="00822A1E"/>
    <w:rsid w:val="00823CBD"/>
    <w:rsid w:val="00824BE8"/>
    <w:rsid w:val="00824C90"/>
    <w:rsid w:val="008317E5"/>
    <w:rsid w:val="0083702F"/>
    <w:rsid w:val="00844348"/>
    <w:rsid w:val="00846742"/>
    <w:rsid w:val="00851B13"/>
    <w:rsid w:val="00854F5F"/>
    <w:rsid w:val="00855FFA"/>
    <w:rsid w:val="008579D9"/>
    <w:rsid w:val="008654C2"/>
    <w:rsid w:val="00867989"/>
    <w:rsid w:val="00871AA3"/>
    <w:rsid w:val="00876A6C"/>
    <w:rsid w:val="00882DC1"/>
    <w:rsid w:val="00892C95"/>
    <w:rsid w:val="00893915"/>
    <w:rsid w:val="00896DA2"/>
    <w:rsid w:val="00897CBE"/>
    <w:rsid w:val="008A62A4"/>
    <w:rsid w:val="008C14D4"/>
    <w:rsid w:val="008C39D9"/>
    <w:rsid w:val="008C48F2"/>
    <w:rsid w:val="008D0442"/>
    <w:rsid w:val="008D496B"/>
    <w:rsid w:val="008E0A09"/>
    <w:rsid w:val="008E0E39"/>
    <w:rsid w:val="008E63F9"/>
    <w:rsid w:val="008F68D8"/>
    <w:rsid w:val="008F7C2E"/>
    <w:rsid w:val="009007F1"/>
    <w:rsid w:val="00900F4B"/>
    <w:rsid w:val="00901375"/>
    <w:rsid w:val="009018D1"/>
    <w:rsid w:val="00901BAE"/>
    <w:rsid w:val="00902FB4"/>
    <w:rsid w:val="00905037"/>
    <w:rsid w:val="00911A1F"/>
    <w:rsid w:val="009159E7"/>
    <w:rsid w:val="00915BAD"/>
    <w:rsid w:val="00920631"/>
    <w:rsid w:val="00920DB8"/>
    <w:rsid w:val="00921608"/>
    <w:rsid w:val="00922B75"/>
    <w:rsid w:val="00923FA6"/>
    <w:rsid w:val="009245CE"/>
    <w:rsid w:val="009255E9"/>
    <w:rsid w:val="0093679C"/>
    <w:rsid w:val="00936D3B"/>
    <w:rsid w:val="009401C3"/>
    <w:rsid w:val="00943073"/>
    <w:rsid w:val="00943FAF"/>
    <w:rsid w:val="00954395"/>
    <w:rsid w:val="00960F52"/>
    <w:rsid w:val="00962702"/>
    <w:rsid w:val="00967C82"/>
    <w:rsid w:val="009731A3"/>
    <w:rsid w:val="009747AC"/>
    <w:rsid w:val="009819C0"/>
    <w:rsid w:val="00982E2D"/>
    <w:rsid w:val="00984450"/>
    <w:rsid w:val="00985C0E"/>
    <w:rsid w:val="00991FA1"/>
    <w:rsid w:val="0099352F"/>
    <w:rsid w:val="009A2F72"/>
    <w:rsid w:val="009A38C7"/>
    <w:rsid w:val="009A4BDE"/>
    <w:rsid w:val="009A4E30"/>
    <w:rsid w:val="009A56E5"/>
    <w:rsid w:val="009A6D2C"/>
    <w:rsid w:val="009B4327"/>
    <w:rsid w:val="009B435B"/>
    <w:rsid w:val="009B4DF3"/>
    <w:rsid w:val="009B6334"/>
    <w:rsid w:val="009B6EEC"/>
    <w:rsid w:val="009C3338"/>
    <w:rsid w:val="009D1DDE"/>
    <w:rsid w:val="009D20EB"/>
    <w:rsid w:val="009D61FE"/>
    <w:rsid w:val="009D6A43"/>
    <w:rsid w:val="009D7CDD"/>
    <w:rsid w:val="009E0C49"/>
    <w:rsid w:val="009E2055"/>
    <w:rsid w:val="009E30CA"/>
    <w:rsid w:val="009E4DAE"/>
    <w:rsid w:val="009E5024"/>
    <w:rsid w:val="009E5971"/>
    <w:rsid w:val="009F05F6"/>
    <w:rsid w:val="009F2821"/>
    <w:rsid w:val="009F39E4"/>
    <w:rsid w:val="00A12277"/>
    <w:rsid w:val="00A166CA"/>
    <w:rsid w:val="00A16901"/>
    <w:rsid w:val="00A279B2"/>
    <w:rsid w:val="00A30907"/>
    <w:rsid w:val="00A318F2"/>
    <w:rsid w:val="00A36593"/>
    <w:rsid w:val="00A4106E"/>
    <w:rsid w:val="00A420D3"/>
    <w:rsid w:val="00A4422A"/>
    <w:rsid w:val="00A44330"/>
    <w:rsid w:val="00A4682F"/>
    <w:rsid w:val="00A478B4"/>
    <w:rsid w:val="00A47FC0"/>
    <w:rsid w:val="00A601C7"/>
    <w:rsid w:val="00A607B2"/>
    <w:rsid w:val="00A6092A"/>
    <w:rsid w:val="00A60E92"/>
    <w:rsid w:val="00A613E4"/>
    <w:rsid w:val="00A650B7"/>
    <w:rsid w:val="00A72BB2"/>
    <w:rsid w:val="00A766C6"/>
    <w:rsid w:val="00A76A73"/>
    <w:rsid w:val="00A8016F"/>
    <w:rsid w:val="00A832A7"/>
    <w:rsid w:val="00A87103"/>
    <w:rsid w:val="00A910FA"/>
    <w:rsid w:val="00A925D1"/>
    <w:rsid w:val="00A95338"/>
    <w:rsid w:val="00A96940"/>
    <w:rsid w:val="00A96E9B"/>
    <w:rsid w:val="00AA0501"/>
    <w:rsid w:val="00AA4393"/>
    <w:rsid w:val="00AA44B0"/>
    <w:rsid w:val="00AB1C05"/>
    <w:rsid w:val="00AB28F4"/>
    <w:rsid w:val="00AB5287"/>
    <w:rsid w:val="00AB6262"/>
    <w:rsid w:val="00AB72B5"/>
    <w:rsid w:val="00AB7440"/>
    <w:rsid w:val="00AC64C2"/>
    <w:rsid w:val="00AD0D26"/>
    <w:rsid w:val="00AD63BA"/>
    <w:rsid w:val="00AE4B2D"/>
    <w:rsid w:val="00AE6CB5"/>
    <w:rsid w:val="00AF088D"/>
    <w:rsid w:val="00AF2DAD"/>
    <w:rsid w:val="00AF3609"/>
    <w:rsid w:val="00AF5378"/>
    <w:rsid w:val="00B0002E"/>
    <w:rsid w:val="00B04FFD"/>
    <w:rsid w:val="00B1211A"/>
    <w:rsid w:val="00B1321E"/>
    <w:rsid w:val="00B15851"/>
    <w:rsid w:val="00B16B2D"/>
    <w:rsid w:val="00B24F75"/>
    <w:rsid w:val="00B26B16"/>
    <w:rsid w:val="00B37AC0"/>
    <w:rsid w:val="00B4039A"/>
    <w:rsid w:val="00B45277"/>
    <w:rsid w:val="00B45AA4"/>
    <w:rsid w:val="00B51E1C"/>
    <w:rsid w:val="00B522EB"/>
    <w:rsid w:val="00B53048"/>
    <w:rsid w:val="00B56C2C"/>
    <w:rsid w:val="00B60E8B"/>
    <w:rsid w:val="00B62EB5"/>
    <w:rsid w:val="00B65460"/>
    <w:rsid w:val="00B6553D"/>
    <w:rsid w:val="00B67067"/>
    <w:rsid w:val="00B702D9"/>
    <w:rsid w:val="00B72D19"/>
    <w:rsid w:val="00B7679B"/>
    <w:rsid w:val="00B77E99"/>
    <w:rsid w:val="00B906D2"/>
    <w:rsid w:val="00BA02D7"/>
    <w:rsid w:val="00BA5412"/>
    <w:rsid w:val="00BA6B05"/>
    <w:rsid w:val="00BA6E22"/>
    <w:rsid w:val="00BB0700"/>
    <w:rsid w:val="00BB07C3"/>
    <w:rsid w:val="00BB1E85"/>
    <w:rsid w:val="00BB2166"/>
    <w:rsid w:val="00BB5693"/>
    <w:rsid w:val="00BB7754"/>
    <w:rsid w:val="00BB7964"/>
    <w:rsid w:val="00BC0465"/>
    <w:rsid w:val="00BC0964"/>
    <w:rsid w:val="00BC34C0"/>
    <w:rsid w:val="00BD1587"/>
    <w:rsid w:val="00BD1D5C"/>
    <w:rsid w:val="00BE2502"/>
    <w:rsid w:val="00BE3C46"/>
    <w:rsid w:val="00BE3D25"/>
    <w:rsid w:val="00BE4B3B"/>
    <w:rsid w:val="00BE7F14"/>
    <w:rsid w:val="00BF1C21"/>
    <w:rsid w:val="00BF2C07"/>
    <w:rsid w:val="00BF2CC1"/>
    <w:rsid w:val="00C004FB"/>
    <w:rsid w:val="00C02DB7"/>
    <w:rsid w:val="00C03BC5"/>
    <w:rsid w:val="00C04A4D"/>
    <w:rsid w:val="00C12879"/>
    <w:rsid w:val="00C131CC"/>
    <w:rsid w:val="00C13A49"/>
    <w:rsid w:val="00C2452F"/>
    <w:rsid w:val="00C247A7"/>
    <w:rsid w:val="00C25127"/>
    <w:rsid w:val="00C2524B"/>
    <w:rsid w:val="00C27C6D"/>
    <w:rsid w:val="00C3139D"/>
    <w:rsid w:val="00C31FAE"/>
    <w:rsid w:val="00C3642D"/>
    <w:rsid w:val="00C409F5"/>
    <w:rsid w:val="00C441D8"/>
    <w:rsid w:val="00C44FFF"/>
    <w:rsid w:val="00C45086"/>
    <w:rsid w:val="00C4532E"/>
    <w:rsid w:val="00C45C2F"/>
    <w:rsid w:val="00C45C8B"/>
    <w:rsid w:val="00C46506"/>
    <w:rsid w:val="00C5682E"/>
    <w:rsid w:val="00C60E69"/>
    <w:rsid w:val="00C62195"/>
    <w:rsid w:val="00C705A9"/>
    <w:rsid w:val="00C76890"/>
    <w:rsid w:val="00C76B0C"/>
    <w:rsid w:val="00C77824"/>
    <w:rsid w:val="00C83F9F"/>
    <w:rsid w:val="00C851BF"/>
    <w:rsid w:val="00C90574"/>
    <w:rsid w:val="00C90EF3"/>
    <w:rsid w:val="00C93AA7"/>
    <w:rsid w:val="00CA2515"/>
    <w:rsid w:val="00CA2C1F"/>
    <w:rsid w:val="00CA6867"/>
    <w:rsid w:val="00CB49A8"/>
    <w:rsid w:val="00CB581D"/>
    <w:rsid w:val="00CC19DE"/>
    <w:rsid w:val="00CC3C24"/>
    <w:rsid w:val="00CC515F"/>
    <w:rsid w:val="00CD0AFE"/>
    <w:rsid w:val="00CD10A1"/>
    <w:rsid w:val="00CD4F69"/>
    <w:rsid w:val="00CD7F22"/>
    <w:rsid w:val="00CE5E93"/>
    <w:rsid w:val="00CF01AF"/>
    <w:rsid w:val="00CF6992"/>
    <w:rsid w:val="00D02DF1"/>
    <w:rsid w:val="00D03DDB"/>
    <w:rsid w:val="00D04DF4"/>
    <w:rsid w:val="00D05430"/>
    <w:rsid w:val="00D06E6E"/>
    <w:rsid w:val="00D10D45"/>
    <w:rsid w:val="00D12E5B"/>
    <w:rsid w:val="00D1734D"/>
    <w:rsid w:val="00D237B2"/>
    <w:rsid w:val="00D26D7E"/>
    <w:rsid w:val="00D276BE"/>
    <w:rsid w:val="00D3169F"/>
    <w:rsid w:val="00D36435"/>
    <w:rsid w:val="00D44840"/>
    <w:rsid w:val="00D45EAC"/>
    <w:rsid w:val="00D513C2"/>
    <w:rsid w:val="00D51E46"/>
    <w:rsid w:val="00D53660"/>
    <w:rsid w:val="00D53FEF"/>
    <w:rsid w:val="00D55CDF"/>
    <w:rsid w:val="00D5782D"/>
    <w:rsid w:val="00D60A12"/>
    <w:rsid w:val="00D61FAD"/>
    <w:rsid w:val="00D67906"/>
    <w:rsid w:val="00D67D0C"/>
    <w:rsid w:val="00D721D1"/>
    <w:rsid w:val="00D74069"/>
    <w:rsid w:val="00D74C4B"/>
    <w:rsid w:val="00D751BD"/>
    <w:rsid w:val="00D81CC5"/>
    <w:rsid w:val="00D81FCE"/>
    <w:rsid w:val="00D836DC"/>
    <w:rsid w:val="00D83BF3"/>
    <w:rsid w:val="00D86E92"/>
    <w:rsid w:val="00D87EC9"/>
    <w:rsid w:val="00D90B52"/>
    <w:rsid w:val="00DA2496"/>
    <w:rsid w:val="00DA67D0"/>
    <w:rsid w:val="00DB4EDE"/>
    <w:rsid w:val="00DB70C8"/>
    <w:rsid w:val="00DB7E9F"/>
    <w:rsid w:val="00DC29AB"/>
    <w:rsid w:val="00DC7E9F"/>
    <w:rsid w:val="00DE25BE"/>
    <w:rsid w:val="00DE355D"/>
    <w:rsid w:val="00DF5209"/>
    <w:rsid w:val="00E024CC"/>
    <w:rsid w:val="00E040D0"/>
    <w:rsid w:val="00E045E0"/>
    <w:rsid w:val="00E05622"/>
    <w:rsid w:val="00E0615A"/>
    <w:rsid w:val="00E06C9D"/>
    <w:rsid w:val="00E07C94"/>
    <w:rsid w:val="00E1140A"/>
    <w:rsid w:val="00E16367"/>
    <w:rsid w:val="00E17B23"/>
    <w:rsid w:val="00E20584"/>
    <w:rsid w:val="00E2076F"/>
    <w:rsid w:val="00E20A28"/>
    <w:rsid w:val="00E30C20"/>
    <w:rsid w:val="00E40BAB"/>
    <w:rsid w:val="00E45A05"/>
    <w:rsid w:val="00E520EC"/>
    <w:rsid w:val="00E55B2C"/>
    <w:rsid w:val="00E57898"/>
    <w:rsid w:val="00E6338F"/>
    <w:rsid w:val="00E71ADA"/>
    <w:rsid w:val="00E72D84"/>
    <w:rsid w:val="00E72E13"/>
    <w:rsid w:val="00E814A0"/>
    <w:rsid w:val="00E81B74"/>
    <w:rsid w:val="00E81EBD"/>
    <w:rsid w:val="00E8576B"/>
    <w:rsid w:val="00E85D0E"/>
    <w:rsid w:val="00E904EB"/>
    <w:rsid w:val="00E90587"/>
    <w:rsid w:val="00E9172D"/>
    <w:rsid w:val="00E97C5A"/>
    <w:rsid w:val="00EA2D68"/>
    <w:rsid w:val="00EA5A2B"/>
    <w:rsid w:val="00EA6930"/>
    <w:rsid w:val="00EB04A4"/>
    <w:rsid w:val="00EB29A2"/>
    <w:rsid w:val="00EB4508"/>
    <w:rsid w:val="00EB5506"/>
    <w:rsid w:val="00EB5C89"/>
    <w:rsid w:val="00EB7176"/>
    <w:rsid w:val="00EC219D"/>
    <w:rsid w:val="00EC3723"/>
    <w:rsid w:val="00EC3D35"/>
    <w:rsid w:val="00EC4315"/>
    <w:rsid w:val="00EC5432"/>
    <w:rsid w:val="00EC747D"/>
    <w:rsid w:val="00ED1E76"/>
    <w:rsid w:val="00ED50FC"/>
    <w:rsid w:val="00ED77C2"/>
    <w:rsid w:val="00EE1008"/>
    <w:rsid w:val="00EE4390"/>
    <w:rsid w:val="00EE57C6"/>
    <w:rsid w:val="00EE63E2"/>
    <w:rsid w:val="00EF1683"/>
    <w:rsid w:val="00EF21E0"/>
    <w:rsid w:val="00EF507D"/>
    <w:rsid w:val="00EF576C"/>
    <w:rsid w:val="00EF6451"/>
    <w:rsid w:val="00EF6963"/>
    <w:rsid w:val="00F01CD0"/>
    <w:rsid w:val="00F13035"/>
    <w:rsid w:val="00F22537"/>
    <w:rsid w:val="00F25678"/>
    <w:rsid w:val="00F27A54"/>
    <w:rsid w:val="00F327E0"/>
    <w:rsid w:val="00F33B32"/>
    <w:rsid w:val="00F340FD"/>
    <w:rsid w:val="00F34A5B"/>
    <w:rsid w:val="00F436AD"/>
    <w:rsid w:val="00F46825"/>
    <w:rsid w:val="00F476C4"/>
    <w:rsid w:val="00F47A3C"/>
    <w:rsid w:val="00F538F8"/>
    <w:rsid w:val="00F53B14"/>
    <w:rsid w:val="00F553A4"/>
    <w:rsid w:val="00F564B9"/>
    <w:rsid w:val="00F57268"/>
    <w:rsid w:val="00F572F7"/>
    <w:rsid w:val="00F63F6A"/>
    <w:rsid w:val="00F647A7"/>
    <w:rsid w:val="00F66217"/>
    <w:rsid w:val="00F67838"/>
    <w:rsid w:val="00F70721"/>
    <w:rsid w:val="00F70A48"/>
    <w:rsid w:val="00F726D8"/>
    <w:rsid w:val="00F7673E"/>
    <w:rsid w:val="00F808B7"/>
    <w:rsid w:val="00F821EE"/>
    <w:rsid w:val="00F9057B"/>
    <w:rsid w:val="00F92E64"/>
    <w:rsid w:val="00F93ECA"/>
    <w:rsid w:val="00F95723"/>
    <w:rsid w:val="00F96533"/>
    <w:rsid w:val="00FA0A25"/>
    <w:rsid w:val="00FA39B2"/>
    <w:rsid w:val="00FA64EB"/>
    <w:rsid w:val="00FA66CE"/>
    <w:rsid w:val="00FB3B61"/>
    <w:rsid w:val="00FC0066"/>
    <w:rsid w:val="00FC1DF2"/>
    <w:rsid w:val="00FC58D1"/>
    <w:rsid w:val="00FC6B35"/>
    <w:rsid w:val="00FD0387"/>
    <w:rsid w:val="00FD3228"/>
    <w:rsid w:val="00FD4C5E"/>
    <w:rsid w:val="00FD5DDB"/>
    <w:rsid w:val="00FD65CF"/>
    <w:rsid w:val="00FD6E99"/>
    <w:rsid w:val="00FE005B"/>
    <w:rsid w:val="00FE1135"/>
    <w:rsid w:val="00FF2968"/>
    <w:rsid w:val="00FF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64005"/>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137772"/>
    <w:pPr>
      <w:spacing w:line="240" w:lineRule="auto"/>
    </w:pPr>
    <w:rPr>
      <w:rFonts w:cs="Times New Roman"/>
    </w:rPr>
  </w:style>
  <w:style w:type="paragraph" w:styleId="Heading1">
    <w:name w:val="heading 1"/>
    <w:basedOn w:val="AOHeadings"/>
    <w:next w:val="AODocTxt"/>
    <w:link w:val="Heading1Char"/>
    <w:uiPriority w:val="9"/>
    <w:rsid w:val="00137772"/>
    <w:pPr>
      <w:keepNext/>
      <w:outlineLvl w:val="0"/>
    </w:pPr>
    <w:rPr>
      <w:rFonts w:eastAsia="Times New Roman"/>
      <w:b/>
      <w:bCs/>
      <w:caps/>
      <w:szCs w:val="28"/>
    </w:rPr>
  </w:style>
  <w:style w:type="paragraph" w:styleId="Heading2">
    <w:name w:val="heading 2"/>
    <w:basedOn w:val="AOHeadings"/>
    <w:next w:val="AODocTxt"/>
    <w:link w:val="Heading2Char"/>
    <w:uiPriority w:val="9"/>
    <w:unhideWhenUsed/>
    <w:rsid w:val="00137772"/>
    <w:pPr>
      <w:keepNext/>
      <w:outlineLvl w:val="1"/>
    </w:pPr>
    <w:rPr>
      <w:rFonts w:eastAsia="Times New Roman"/>
      <w:b/>
      <w:bCs/>
      <w:szCs w:val="26"/>
    </w:rPr>
  </w:style>
  <w:style w:type="paragraph" w:styleId="Heading3">
    <w:name w:val="heading 3"/>
    <w:basedOn w:val="AOHeadings"/>
    <w:next w:val="AODocTxt"/>
    <w:link w:val="Heading3Char"/>
    <w:uiPriority w:val="9"/>
    <w:unhideWhenUsed/>
    <w:qFormat/>
    <w:rsid w:val="00137772"/>
    <w:pPr>
      <w:outlineLvl w:val="2"/>
    </w:pPr>
    <w:rPr>
      <w:rFonts w:eastAsia="Times New Roman"/>
      <w:bCs/>
    </w:rPr>
  </w:style>
  <w:style w:type="paragraph" w:styleId="Heading4">
    <w:name w:val="heading 4"/>
    <w:basedOn w:val="AOHeadings"/>
    <w:next w:val="AODocTxt"/>
    <w:link w:val="Heading4Char"/>
    <w:uiPriority w:val="9"/>
    <w:unhideWhenUsed/>
    <w:qFormat/>
    <w:rsid w:val="00137772"/>
    <w:pPr>
      <w:outlineLvl w:val="3"/>
    </w:pPr>
    <w:rPr>
      <w:rFonts w:eastAsia="Times New Roman"/>
      <w:bCs/>
      <w:iCs/>
    </w:rPr>
  </w:style>
  <w:style w:type="paragraph" w:styleId="Heading5">
    <w:name w:val="heading 5"/>
    <w:basedOn w:val="AOHeadings"/>
    <w:next w:val="AODocTxt"/>
    <w:link w:val="Heading5Char"/>
    <w:uiPriority w:val="9"/>
    <w:unhideWhenUsed/>
    <w:qFormat/>
    <w:rsid w:val="00137772"/>
    <w:pPr>
      <w:outlineLvl w:val="4"/>
    </w:pPr>
    <w:rPr>
      <w:rFonts w:eastAsia="Times New Roman"/>
    </w:rPr>
  </w:style>
  <w:style w:type="paragraph" w:styleId="Heading6">
    <w:name w:val="heading 6"/>
    <w:basedOn w:val="AOHeadings"/>
    <w:next w:val="AODocTxt"/>
    <w:link w:val="Heading6Char"/>
    <w:uiPriority w:val="9"/>
    <w:unhideWhenUsed/>
    <w:qFormat/>
    <w:rsid w:val="00137772"/>
    <w:pPr>
      <w:outlineLvl w:val="5"/>
    </w:pPr>
    <w:rPr>
      <w:rFonts w:eastAsia="Times New Roman"/>
      <w:iCs/>
    </w:rPr>
  </w:style>
  <w:style w:type="paragraph" w:styleId="Heading7">
    <w:name w:val="heading 7"/>
    <w:basedOn w:val="AOHeadings"/>
    <w:next w:val="AODocTxt"/>
    <w:link w:val="Heading7Char"/>
    <w:uiPriority w:val="9"/>
    <w:semiHidden/>
    <w:unhideWhenUsed/>
    <w:qFormat/>
    <w:rsid w:val="00137772"/>
    <w:pPr>
      <w:outlineLvl w:val="6"/>
    </w:pPr>
    <w:rPr>
      <w:rFonts w:eastAsia="Times New Roman"/>
      <w:iCs/>
    </w:rPr>
  </w:style>
  <w:style w:type="paragraph" w:styleId="Heading8">
    <w:name w:val="heading 8"/>
    <w:basedOn w:val="AOHeadings"/>
    <w:next w:val="AODocTxt"/>
    <w:link w:val="Heading8Char"/>
    <w:uiPriority w:val="9"/>
    <w:semiHidden/>
    <w:unhideWhenUsed/>
    <w:qFormat/>
    <w:rsid w:val="00137772"/>
    <w:pPr>
      <w:outlineLvl w:val="7"/>
    </w:pPr>
    <w:rPr>
      <w:rFonts w:eastAsia="Times New Roman"/>
      <w:szCs w:val="20"/>
    </w:rPr>
  </w:style>
  <w:style w:type="paragraph" w:styleId="Heading9">
    <w:name w:val="heading 9"/>
    <w:basedOn w:val="AOHeadings"/>
    <w:next w:val="AODocTxt"/>
    <w:link w:val="Heading9Char"/>
    <w:uiPriority w:val="9"/>
    <w:semiHidden/>
    <w:qFormat/>
    <w:rsid w:val="00137772"/>
    <w:pPr>
      <w:outlineLvl w:val="8"/>
    </w:pPr>
    <w:rPr>
      <w:rFonts w:eastAsia="Times New Roman"/>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qFormat/>
    <w:rsid w:val="00137772"/>
    <w:rPr>
      <w:rFonts w:cs="Times New Roman"/>
    </w:rPr>
  </w:style>
  <w:style w:type="paragraph" w:customStyle="1" w:styleId="AOBodyTxt">
    <w:name w:val="AOBodyTxt"/>
    <w:basedOn w:val="AONormal"/>
    <w:next w:val="AODocTxt"/>
    <w:uiPriority w:val="99"/>
    <w:rsid w:val="00137772"/>
    <w:pPr>
      <w:spacing w:before="240"/>
      <w:jc w:val="both"/>
    </w:pPr>
  </w:style>
  <w:style w:type="paragraph" w:customStyle="1" w:styleId="AODocTxt">
    <w:name w:val="AODocTxt"/>
    <w:basedOn w:val="AOBodyTxt"/>
    <w:link w:val="AODocTxtChar"/>
    <w:qFormat/>
    <w:rsid w:val="00137772"/>
    <w:pPr>
      <w:numPr>
        <w:numId w:val="45"/>
      </w:numPr>
    </w:pPr>
  </w:style>
  <w:style w:type="paragraph" w:customStyle="1" w:styleId="AODocTxtL1">
    <w:name w:val="AODocTxtL1"/>
    <w:basedOn w:val="AODocTxt"/>
    <w:link w:val="AODocTxtL1Char"/>
    <w:uiPriority w:val="49"/>
    <w:rsid w:val="00137772"/>
    <w:pPr>
      <w:numPr>
        <w:ilvl w:val="1"/>
      </w:numPr>
    </w:pPr>
  </w:style>
  <w:style w:type="paragraph" w:customStyle="1" w:styleId="AODocTxtL2">
    <w:name w:val="AODocTxtL2"/>
    <w:basedOn w:val="AODocTxt"/>
    <w:uiPriority w:val="49"/>
    <w:rsid w:val="00137772"/>
    <w:pPr>
      <w:numPr>
        <w:ilvl w:val="2"/>
      </w:numPr>
    </w:pPr>
  </w:style>
  <w:style w:type="paragraph" w:customStyle="1" w:styleId="AODocTxtL3">
    <w:name w:val="AODocTxtL3"/>
    <w:basedOn w:val="AODocTxt"/>
    <w:uiPriority w:val="49"/>
    <w:rsid w:val="00137772"/>
    <w:pPr>
      <w:numPr>
        <w:ilvl w:val="3"/>
      </w:numPr>
    </w:pPr>
  </w:style>
  <w:style w:type="paragraph" w:customStyle="1" w:styleId="AODocTxtL4">
    <w:name w:val="AODocTxtL4"/>
    <w:basedOn w:val="AODocTxt"/>
    <w:uiPriority w:val="49"/>
    <w:rsid w:val="00137772"/>
    <w:pPr>
      <w:numPr>
        <w:ilvl w:val="4"/>
      </w:numPr>
    </w:pPr>
  </w:style>
  <w:style w:type="paragraph" w:customStyle="1" w:styleId="AODocTxtL5">
    <w:name w:val="AODocTxtL5"/>
    <w:basedOn w:val="AODocTxt"/>
    <w:uiPriority w:val="49"/>
    <w:rsid w:val="00137772"/>
    <w:pPr>
      <w:numPr>
        <w:ilvl w:val="5"/>
      </w:numPr>
    </w:pPr>
  </w:style>
  <w:style w:type="paragraph" w:customStyle="1" w:styleId="AODocTxtL6">
    <w:name w:val="AODocTxtL6"/>
    <w:basedOn w:val="AODocTxt"/>
    <w:uiPriority w:val="49"/>
    <w:rsid w:val="00137772"/>
    <w:pPr>
      <w:numPr>
        <w:ilvl w:val="6"/>
      </w:numPr>
    </w:pPr>
  </w:style>
  <w:style w:type="paragraph" w:customStyle="1" w:styleId="AODocTxtL7">
    <w:name w:val="AODocTxtL7"/>
    <w:basedOn w:val="AODocTxt"/>
    <w:uiPriority w:val="49"/>
    <w:rsid w:val="00137772"/>
    <w:pPr>
      <w:numPr>
        <w:ilvl w:val="7"/>
      </w:numPr>
    </w:pPr>
  </w:style>
  <w:style w:type="paragraph" w:customStyle="1" w:styleId="AODocTxtL8">
    <w:name w:val="AODocTxtL8"/>
    <w:basedOn w:val="AODocTxt"/>
    <w:uiPriority w:val="49"/>
    <w:rsid w:val="00137772"/>
    <w:pPr>
      <w:numPr>
        <w:ilvl w:val="8"/>
      </w:numPr>
    </w:pPr>
  </w:style>
  <w:style w:type="paragraph" w:customStyle="1" w:styleId="AO1">
    <w:name w:val="AO(1)"/>
    <w:basedOn w:val="AOBodyTxt"/>
    <w:next w:val="AODocTxt"/>
    <w:qFormat/>
    <w:rsid w:val="00137772"/>
    <w:pPr>
      <w:numPr>
        <w:numId w:val="60"/>
      </w:numPr>
    </w:pPr>
  </w:style>
  <w:style w:type="paragraph" w:customStyle="1" w:styleId="AOA">
    <w:name w:val="AO(A)"/>
    <w:basedOn w:val="AOBodyTxt"/>
    <w:next w:val="AODocTxt"/>
    <w:link w:val="AOAChar"/>
    <w:qFormat/>
    <w:rsid w:val="00137772"/>
    <w:pPr>
      <w:numPr>
        <w:numId w:val="48"/>
      </w:numPr>
    </w:pPr>
  </w:style>
  <w:style w:type="paragraph" w:customStyle="1" w:styleId="AOHeadings">
    <w:name w:val="AOHeadings"/>
    <w:basedOn w:val="AOBodyTxt"/>
    <w:next w:val="AODocTxt"/>
    <w:uiPriority w:val="59"/>
    <w:rsid w:val="00137772"/>
  </w:style>
  <w:style w:type="paragraph" w:customStyle="1" w:styleId="AOHead1">
    <w:name w:val="AOHead1"/>
    <w:basedOn w:val="AOHeadings"/>
    <w:next w:val="AODocTxtL1"/>
    <w:link w:val="AOHead1Char"/>
    <w:uiPriority w:val="4"/>
    <w:qFormat/>
    <w:rsid w:val="00137772"/>
    <w:pPr>
      <w:keepNext/>
      <w:numPr>
        <w:numId w:val="50"/>
      </w:numPr>
      <w:outlineLvl w:val="0"/>
    </w:pPr>
    <w:rPr>
      <w:b/>
      <w:caps/>
      <w:kern w:val="28"/>
    </w:rPr>
  </w:style>
  <w:style w:type="paragraph" w:customStyle="1" w:styleId="AOHead2">
    <w:name w:val="AOHead2"/>
    <w:basedOn w:val="AOHeadings"/>
    <w:next w:val="AODocTxtL1"/>
    <w:link w:val="AOHead2Char"/>
    <w:uiPriority w:val="4"/>
    <w:qFormat/>
    <w:rsid w:val="00137772"/>
    <w:pPr>
      <w:keepNext/>
      <w:numPr>
        <w:ilvl w:val="1"/>
        <w:numId w:val="50"/>
      </w:numPr>
      <w:outlineLvl w:val="1"/>
    </w:pPr>
    <w:rPr>
      <w:b/>
    </w:rPr>
  </w:style>
  <w:style w:type="paragraph" w:customStyle="1" w:styleId="AOHead3">
    <w:name w:val="AOHead3"/>
    <w:basedOn w:val="AOHeadings"/>
    <w:next w:val="AODocTxtL2"/>
    <w:link w:val="AOHead3Char"/>
    <w:uiPriority w:val="4"/>
    <w:qFormat/>
    <w:rsid w:val="00137772"/>
    <w:pPr>
      <w:numPr>
        <w:ilvl w:val="2"/>
        <w:numId w:val="50"/>
      </w:numPr>
      <w:outlineLvl w:val="2"/>
    </w:pPr>
  </w:style>
  <w:style w:type="paragraph" w:customStyle="1" w:styleId="AOHead4">
    <w:name w:val="AOHead4"/>
    <w:basedOn w:val="AOHeadings"/>
    <w:next w:val="AODocTxtL3"/>
    <w:uiPriority w:val="4"/>
    <w:qFormat/>
    <w:rsid w:val="00137772"/>
    <w:pPr>
      <w:numPr>
        <w:ilvl w:val="3"/>
        <w:numId w:val="50"/>
      </w:numPr>
      <w:outlineLvl w:val="3"/>
    </w:pPr>
  </w:style>
  <w:style w:type="paragraph" w:customStyle="1" w:styleId="AOHead5">
    <w:name w:val="AOHead5"/>
    <w:basedOn w:val="AOHeadings"/>
    <w:next w:val="AODocTxtL4"/>
    <w:uiPriority w:val="4"/>
    <w:qFormat/>
    <w:rsid w:val="00137772"/>
    <w:pPr>
      <w:numPr>
        <w:ilvl w:val="4"/>
        <w:numId w:val="50"/>
      </w:numPr>
      <w:outlineLvl w:val="4"/>
    </w:pPr>
  </w:style>
  <w:style w:type="paragraph" w:customStyle="1" w:styleId="AOHead6">
    <w:name w:val="AOHead6"/>
    <w:basedOn w:val="AOHeadings"/>
    <w:next w:val="AODocTxtL5"/>
    <w:uiPriority w:val="4"/>
    <w:qFormat/>
    <w:rsid w:val="00137772"/>
    <w:pPr>
      <w:numPr>
        <w:ilvl w:val="5"/>
        <w:numId w:val="50"/>
      </w:numPr>
      <w:outlineLvl w:val="5"/>
    </w:pPr>
  </w:style>
  <w:style w:type="paragraph" w:customStyle="1" w:styleId="AOAltHead1">
    <w:name w:val="AOAltHead1"/>
    <w:basedOn w:val="AOHead1"/>
    <w:next w:val="AODocTxtL1"/>
    <w:uiPriority w:val="9"/>
    <w:qFormat/>
    <w:rsid w:val="00137772"/>
    <w:pPr>
      <w:keepNext w:val="0"/>
      <w:tabs>
        <w:tab w:val="clear" w:pos="720"/>
      </w:tabs>
    </w:pPr>
    <w:rPr>
      <w:b w:val="0"/>
      <w:caps w:val="0"/>
    </w:rPr>
  </w:style>
  <w:style w:type="paragraph" w:customStyle="1" w:styleId="AOAltHead2">
    <w:name w:val="AOAltHead2"/>
    <w:basedOn w:val="AOHead2"/>
    <w:next w:val="AODocTxtL1"/>
    <w:link w:val="AOAltHead2Char"/>
    <w:uiPriority w:val="9"/>
    <w:qFormat/>
    <w:rsid w:val="00137772"/>
    <w:pPr>
      <w:keepNext w:val="0"/>
      <w:tabs>
        <w:tab w:val="clear" w:pos="720"/>
      </w:tabs>
    </w:pPr>
    <w:rPr>
      <w:b w:val="0"/>
    </w:rPr>
  </w:style>
  <w:style w:type="paragraph" w:customStyle="1" w:styleId="AOAltHead3">
    <w:name w:val="AOAltHead3"/>
    <w:basedOn w:val="AOHead3"/>
    <w:next w:val="AODocTxtL1"/>
    <w:uiPriority w:val="9"/>
    <w:qFormat/>
    <w:rsid w:val="00137772"/>
    <w:pPr>
      <w:tabs>
        <w:tab w:val="clear" w:pos="1440"/>
      </w:tabs>
      <w:ind w:left="720"/>
    </w:pPr>
  </w:style>
  <w:style w:type="paragraph" w:customStyle="1" w:styleId="AOAltHead4">
    <w:name w:val="AOAltHead4"/>
    <w:basedOn w:val="AOHead4"/>
    <w:next w:val="AODocTxtL2"/>
    <w:uiPriority w:val="9"/>
    <w:qFormat/>
    <w:rsid w:val="00137772"/>
    <w:pPr>
      <w:tabs>
        <w:tab w:val="clear" w:pos="2160"/>
      </w:tabs>
      <w:ind w:left="1440"/>
    </w:pPr>
  </w:style>
  <w:style w:type="paragraph" w:customStyle="1" w:styleId="AOAltHead5">
    <w:name w:val="AOAltHead5"/>
    <w:basedOn w:val="AOHead5"/>
    <w:next w:val="AODocTxtL3"/>
    <w:uiPriority w:val="9"/>
    <w:qFormat/>
    <w:rsid w:val="00137772"/>
    <w:pPr>
      <w:tabs>
        <w:tab w:val="clear" w:pos="2880"/>
      </w:tabs>
      <w:ind w:left="2160"/>
    </w:pPr>
  </w:style>
  <w:style w:type="paragraph" w:customStyle="1" w:styleId="AOAltHead6">
    <w:name w:val="AOAltHead6"/>
    <w:basedOn w:val="AOHead6"/>
    <w:next w:val="AODocTxtL4"/>
    <w:uiPriority w:val="9"/>
    <w:qFormat/>
    <w:rsid w:val="00137772"/>
    <w:pPr>
      <w:tabs>
        <w:tab w:val="clear" w:pos="3600"/>
      </w:tabs>
      <w:ind w:left="2880"/>
    </w:pPr>
  </w:style>
  <w:style w:type="paragraph" w:customStyle="1" w:styleId="AOHeading1">
    <w:name w:val="AOHeading1"/>
    <w:basedOn w:val="AOHeadings"/>
    <w:next w:val="AODocTxt"/>
    <w:uiPriority w:val="59"/>
    <w:qFormat/>
    <w:rsid w:val="00137772"/>
    <w:pPr>
      <w:keepNext/>
      <w:outlineLvl w:val="0"/>
    </w:pPr>
    <w:rPr>
      <w:b/>
      <w:caps/>
      <w:kern w:val="28"/>
    </w:rPr>
  </w:style>
  <w:style w:type="paragraph" w:customStyle="1" w:styleId="AOHeading2">
    <w:name w:val="AOHeading2"/>
    <w:basedOn w:val="AOHeadings"/>
    <w:next w:val="AODocTxt"/>
    <w:uiPriority w:val="59"/>
    <w:qFormat/>
    <w:rsid w:val="00137772"/>
    <w:pPr>
      <w:keepNext/>
      <w:outlineLvl w:val="1"/>
    </w:pPr>
    <w:rPr>
      <w:b/>
    </w:rPr>
  </w:style>
  <w:style w:type="paragraph" w:customStyle="1" w:styleId="AOHeading3">
    <w:name w:val="AOHeading3"/>
    <w:basedOn w:val="AOHeadings"/>
    <w:next w:val="AODocTxtL1"/>
    <w:uiPriority w:val="59"/>
    <w:qFormat/>
    <w:rsid w:val="00137772"/>
    <w:pPr>
      <w:keepNext/>
      <w:ind w:left="720"/>
      <w:outlineLvl w:val="2"/>
    </w:pPr>
    <w:rPr>
      <w:b/>
    </w:rPr>
  </w:style>
  <w:style w:type="paragraph" w:customStyle="1" w:styleId="AOHeading4">
    <w:name w:val="AOHeading4"/>
    <w:basedOn w:val="AOHeadings"/>
    <w:next w:val="AODocTxt"/>
    <w:uiPriority w:val="59"/>
    <w:rsid w:val="00137772"/>
    <w:pPr>
      <w:keepNext/>
      <w:outlineLvl w:val="3"/>
    </w:pPr>
    <w:rPr>
      <w:i/>
    </w:rPr>
  </w:style>
  <w:style w:type="paragraph" w:styleId="Header">
    <w:name w:val="header"/>
    <w:basedOn w:val="Normal"/>
    <w:link w:val="HeaderChar"/>
    <w:uiPriority w:val="99"/>
    <w:rsid w:val="00137772"/>
    <w:pPr>
      <w:tabs>
        <w:tab w:val="center" w:pos="4150"/>
        <w:tab w:val="right" w:pos="8306"/>
      </w:tabs>
    </w:pPr>
  </w:style>
  <w:style w:type="character" w:customStyle="1" w:styleId="HeaderChar">
    <w:name w:val="Header Char"/>
    <w:basedOn w:val="DefaultParagraphFont"/>
    <w:link w:val="Header"/>
    <w:uiPriority w:val="99"/>
    <w:rsid w:val="00137772"/>
    <w:rPr>
      <w:rFonts w:cs="Times New Roman"/>
    </w:rPr>
  </w:style>
  <w:style w:type="paragraph" w:styleId="Footer">
    <w:name w:val="footer"/>
    <w:basedOn w:val="Normal"/>
    <w:link w:val="FooterChar"/>
    <w:uiPriority w:val="99"/>
    <w:rsid w:val="00137772"/>
    <w:pPr>
      <w:tabs>
        <w:tab w:val="center" w:pos="4150"/>
        <w:tab w:val="right" w:pos="8306"/>
      </w:tabs>
    </w:pPr>
  </w:style>
  <w:style w:type="character" w:customStyle="1" w:styleId="FooterChar">
    <w:name w:val="Footer Char"/>
    <w:basedOn w:val="DefaultParagraphFont"/>
    <w:link w:val="Footer"/>
    <w:uiPriority w:val="99"/>
    <w:rsid w:val="00137772"/>
    <w:rPr>
      <w:rFonts w:cs="Times New Roman"/>
    </w:rPr>
  </w:style>
  <w:style w:type="paragraph" w:customStyle="1" w:styleId="AOAttachments">
    <w:name w:val="AOAttachments"/>
    <w:basedOn w:val="AOBodyTxt"/>
    <w:next w:val="AODocTxt"/>
    <w:uiPriority w:val="99"/>
    <w:rsid w:val="00137772"/>
    <w:pPr>
      <w:jc w:val="center"/>
    </w:pPr>
    <w:rPr>
      <w:caps/>
    </w:rPr>
  </w:style>
  <w:style w:type="paragraph" w:customStyle="1" w:styleId="AOAppTitle">
    <w:name w:val="AOAppTitle"/>
    <w:basedOn w:val="AOAttachments"/>
    <w:next w:val="AODocTxt"/>
    <w:uiPriority w:val="25"/>
    <w:rsid w:val="00137772"/>
    <w:pPr>
      <w:outlineLvl w:val="1"/>
    </w:pPr>
    <w:rPr>
      <w:b/>
    </w:rPr>
  </w:style>
  <w:style w:type="paragraph" w:customStyle="1" w:styleId="AOAppPartTitle">
    <w:name w:val="AOAppPartTitle"/>
    <w:basedOn w:val="AOAppTitle"/>
    <w:next w:val="AODocTxt"/>
    <w:uiPriority w:val="27"/>
    <w:rsid w:val="00137772"/>
  </w:style>
  <w:style w:type="paragraph" w:customStyle="1" w:styleId="AOAppHead">
    <w:name w:val="AOAppHead"/>
    <w:basedOn w:val="AOAttachments"/>
    <w:next w:val="AOAppTitle"/>
    <w:qFormat/>
    <w:rsid w:val="00137772"/>
    <w:pPr>
      <w:pageBreakBefore/>
      <w:numPr>
        <w:numId w:val="5"/>
      </w:numPr>
      <w:tabs>
        <w:tab w:val="clear" w:pos="0"/>
      </w:tabs>
      <w:outlineLvl w:val="0"/>
    </w:pPr>
  </w:style>
  <w:style w:type="paragraph" w:customStyle="1" w:styleId="AOAppPartHead">
    <w:name w:val="AOAppPartHead"/>
    <w:basedOn w:val="AOAppHead"/>
    <w:next w:val="AOAppPartTitle"/>
    <w:qFormat/>
    <w:rsid w:val="00137772"/>
    <w:pPr>
      <w:pageBreakBefore w:val="0"/>
      <w:numPr>
        <w:ilvl w:val="1"/>
      </w:numPr>
      <w:tabs>
        <w:tab w:val="clear" w:pos="0"/>
      </w:tabs>
    </w:pPr>
  </w:style>
  <w:style w:type="paragraph" w:customStyle="1" w:styleId="AOAnxTitle">
    <w:name w:val="AOAnxTitle"/>
    <w:basedOn w:val="AOAttachments"/>
    <w:next w:val="AODocTxt"/>
    <w:uiPriority w:val="20"/>
    <w:rsid w:val="00137772"/>
    <w:pPr>
      <w:outlineLvl w:val="1"/>
    </w:pPr>
    <w:rPr>
      <w:b/>
    </w:rPr>
  </w:style>
  <w:style w:type="paragraph" w:customStyle="1" w:styleId="AOAnxPartTitle">
    <w:name w:val="AOAnxPartTitle"/>
    <w:basedOn w:val="AOAnxTitle"/>
    <w:next w:val="AODocTxt"/>
    <w:uiPriority w:val="22"/>
    <w:rsid w:val="00137772"/>
  </w:style>
  <w:style w:type="paragraph" w:customStyle="1" w:styleId="AOAnxHead">
    <w:name w:val="AOAnxHead"/>
    <w:basedOn w:val="AOAttachments"/>
    <w:next w:val="AOAnxTitle"/>
    <w:uiPriority w:val="19"/>
    <w:qFormat/>
    <w:rsid w:val="00137772"/>
    <w:pPr>
      <w:pageBreakBefore/>
      <w:numPr>
        <w:numId w:val="6"/>
      </w:numPr>
      <w:tabs>
        <w:tab w:val="clear" w:pos="0"/>
      </w:tabs>
      <w:outlineLvl w:val="0"/>
    </w:pPr>
  </w:style>
  <w:style w:type="paragraph" w:customStyle="1" w:styleId="AOAnxPartHead">
    <w:name w:val="AOAnxPartHead"/>
    <w:basedOn w:val="AOAnxHead"/>
    <w:next w:val="AOAnxPartTitle"/>
    <w:uiPriority w:val="21"/>
    <w:qFormat/>
    <w:rsid w:val="00137772"/>
    <w:pPr>
      <w:pageBreakBefore w:val="0"/>
      <w:numPr>
        <w:ilvl w:val="1"/>
      </w:numPr>
      <w:tabs>
        <w:tab w:val="clear" w:pos="0"/>
      </w:tabs>
    </w:pPr>
  </w:style>
  <w:style w:type="paragraph" w:customStyle="1" w:styleId="AOSchTitle">
    <w:name w:val="AOSchTitle"/>
    <w:basedOn w:val="AOAttachments"/>
    <w:next w:val="AODocTxt"/>
    <w:uiPriority w:val="15"/>
    <w:rsid w:val="00137772"/>
    <w:pPr>
      <w:outlineLvl w:val="1"/>
    </w:pPr>
    <w:rPr>
      <w:b/>
    </w:rPr>
  </w:style>
  <w:style w:type="paragraph" w:customStyle="1" w:styleId="AOSchPartTitle">
    <w:name w:val="AOSchPartTitle"/>
    <w:basedOn w:val="AOSchTitle"/>
    <w:next w:val="AODocTxt"/>
    <w:uiPriority w:val="17"/>
    <w:rsid w:val="00137772"/>
  </w:style>
  <w:style w:type="paragraph" w:customStyle="1" w:styleId="AOSchHead">
    <w:name w:val="AOSchHead"/>
    <w:basedOn w:val="AOAttachments"/>
    <w:next w:val="AOSchTitle"/>
    <w:uiPriority w:val="14"/>
    <w:qFormat/>
    <w:rsid w:val="00137772"/>
    <w:pPr>
      <w:pageBreakBefore/>
      <w:numPr>
        <w:numId w:val="7"/>
      </w:numPr>
      <w:tabs>
        <w:tab w:val="clear" w:pos="0"/>
      </w:tabs>
      <w:outlineLvl w:val="0"/>
    </w:pPr>
  </w:style>
  <w:style w:type="paragraph" w:customStyle="1" w:styleId="AOSchPartHead">
    <w:name w:val="AOSchPartHead"/>
    <w:basedOn w:val="AOSchHead"/>
    <w:next w:val="AOSchPartTitle"/>
    <w:uiPriority w:val="16"/>
    <w:qFormat/>
    <w:rsid w:val="00137772"/>
    <w:pPr>
      <w:pageBreakBefore w:val="0"/>
      <w:numPr>
        <w:ilvl w:val="1"/>
      </w:numPr>
      <w:tabs>
        <w:tab w:val="clear" w:pos="0"/>
      </w:tabs>
    </w:pPr>
  </w:style>
  <w:style w:type="paragraph" w:customStyle="1" w:styleId="AODefHead">
    <w:name w:val="AODefHead"/>
    <w:basedOn w:val="AOBodyTxt"/>
    <w:next w:val="AODefPara"/>
    <w:qFormat/>
    <w:rsid w:val="00137772"/>
    <w:pPr>
      <w:numPr>
        <w:numId w:val="4"/>
      </w:numPr>
      <w:outlineLvl w:val="5"/>
    </w:pPr>
  </w:style>
  <w:style w:type="paragraph" w:customStyle="1" w:styleId="AODefPara">
    <w:name w:val="AODefPara"/>
    <w:basedOn w:val="AODefHead"/>
    <w:rsid w:val="00137772"/>
    <w:pPr>
      <w:numPr>
        <w:ilvl w:val="1"/>
      </w:numPr>
      <w:outlineLvl w:val="6"/>
    </w:pPr>
  </w:style>
  <w:style w:type="paragraph" w:customStyle="1" w:styleId="AOBullet">
    <w:name w:val="AOBullet"/>
    <w:basedOn w:val="AOBodyTxt"/>
    <w:rsid w:val="00137772"/>
    <w:pPr>
      <w:numPr>
        <w:numId w:val="8"/>
      </w:numPr>
      <w:tabs>
        <w:tab w:val="clear" w:pos="720"/>
      </w:tabs>
    </w:pPr>
  </w:style>
  <w:style w:type="paragraph" w:customStyle="1" w:styleId="AOBullet2">
    <w:name w:val="AOBullet2"/>
    <w:basedOn w:val="AOBullet"/>
    <w:uiPriority w:val="49"/>
    <w:rsid w:val="00137772"/>
    <w:pPr>
      <w:numPr>
        <w:numId w:val="9"/>
      </w:numPr>
      <w:tabs>
        <w:tab w:val="clear" w:pos="720"/>
      </w:tabs>
      <w:spacing w:before="120"/>
    </w:pPr>
  </w:style>
  <w:style w:type="paragraph" w:customStyle="1" w:styleId="AOBullet3">
    <w:name w:val="AOBullet3"/>
    <w:basedOn w:val="AOBodyTxt"/>
    <w:uiPriority w:val="49"/>
    <w:rsid w:val="00137772"/>
    <w:pPr>
      <w:numPr>
        <w:numId w:val="10"/>
      </w:numPr>
      <w:tabs>
        <w:tab w:val="clear" w:pos="720"/>
      </w:tabs>
      <w:spacing w:before="120"/>
    </w:pPr>
  </w:style>
  <w:style w:type="paragraph" w:customStyle="1" w:styleId="AOBullet4">
    <w:name w:val="AOBullet4"/>
    <w:basedOn w:val="AOBodyTxt"/>
    <w:uiPriority w:val="49"/>
    <w:rsid w:val="00137772"/>
    <w:pPr>
      <w:numPr>
        <w:numId w:val="11"/>
      </w:numPr>
      <w:tabs>
        <w:tab w:val="clear" w:pos="720"/>
      </w:tabs>
      <w:spacing w:before="120"/>
    </w:pPr>
  </w:style>
  <w:style w:type="paragraph" w:customStyle="1" w:styleId="AOGenNum1">
    <w:name w:val="AOGenNum1"/>
    <w:basedOn w:val="AOBodyTxt"/>
    <w:next w:val="AOGenNum1Para"/>
    <w:uiPriority w:val="34"/>
    <w:qFormat/>
    <w:rsid w:val="00137772"/>
    <w:pPr>
      <w:keepNext/>
      <w:numPr>
        <w:numId w:val="1"/>
      </w:numPr>
    </w:pPr>
    <w:rPr>
      <w:b/>
      <w:caps/>
    </w:rPr>
  </w:style>
  <w:style w:type="paragraph" w:customStyle="1" w:styleId="AOGenNum1List">
    <w:name w:val="AOGenNum1List"/>
    <w:basedOn w:val="AOGenNum1"/>
    <w:uiPriority w:val="36"/>
    <w:rsid w:val="00137772"/>
    <w:pPr>
      <w:keepNext w:val="0"/>
      <w:numPr>
        <w:ilvl w:val="2"/>
      </w:numPr>
    </w:pPr>
    <w:rPr>
      <w:b w:val="0"/>
      <w:caps w:val="0"/>
    </w:rPr>
  </w:style>
  <w:style w:type="paragraph" w:customStyle="1" w:styleId="AOGenNum1Para">
    <w:name w:val="AOGenNum1Para"/>
    <w:basedOn w:val="AOGenNum1"/>
    <w:next w:val="AOGenNum1List"/>
    <w:uiPriority w:val="35"/>
    <w:rsid w:val="00137772"/>
    <w:pPr>
      <w:numPr>
        <w:ilvl w:val="1"/>
      </w:numPr>
    </w:pPr>
    <w:rPr>
      <w:caps w:val="0"/>
    </w:rPr>
  </w:style>
  <w:style w:type="paragraph" w:customStyle="1" w:styleId="AOGenNum2">
    <w:name w:val="AOGenNum2"/>
    <w:basedOn w:val="AOBodyTxt"/>
    <w:next w:val="AOGenNum2Para"/>
    <w:uiPriority w:val="39"/>
    <w:qFormat/>
    <w:rsid w:val="00137772"/>
    <w:pPr>
      <w:keepNext/>
      <w:numPr>
        <w:numId w:val="2"/>
      </w:numPr>
    </w:pPr>
    <w:rPr>
      <w:b/>
    </w:rPr>
  </w:style>
  <w:style w:type="paragraph" w:customStyle="1" w:styleId="AOGenNum2List">
    <w:name w:val="AOGenNum2List"/>
    <w:basedOn w:val="AOGenNum2"/>
    <w:uiPriority w:val="41"/>
    <w:rsid w:val="00137772"/>
    <w:pPr>
      <w:keepNext w:val="0"/>
      <w:numPr>
        <w:ilvl w:val="2"/>
      </w:numPr>
    </w:pPr>
    <w:rPr>
      <w:b w:val="0"/>
    </w:rPr>
  </w:style>
  <w:style w:type="paragraph" w:customStyle="1" w:styleId="AOGenNum2Para">
    <w:name w:val="AOGenNum2Para"/>
    <w:basedOn w:val="AOGenNum2"/>
    <w:next w:val="AOGenNum2List"/>
    <w:uiPriority w:val="40"/>
    <w:rsid w:val="00137772"/>
    <w:pPr>
      <w:keepNext w:val="0"/>
      <w:numPr>
        <w:ilvl w:val="1"/>
      </w:numPr>
    </w:pPr>
    <w:rPr>
      <w:b w:val="0"/>
    </w:rPr>
  </w:style>
  <w:style w:type="paragraph" w:customStyle="1" w:styleId="AOGenNum3">
    <w:name w:val="AOGenNum3"/>
    <w:basedOn w:val="AOBodyTxt"/>
    <w:next w:val="AOGenNum3List"/>
    <w:uiPriority w:val="44"/>
    <w:qFormat/>
    <w:rsid w:val="00137772"/>
    <w:pPr>
      <w:numPr>
        <w:numId w:val="3"/>
      </w:numPr>
    </w:pPr>
  </w:style>
  <w:style w:type="paragraph" w:customStyle="1" w:styleId="AOGenNum3List">
    <w:name w:val="AOGenNum3List"/>
    <w:basedOn w:val="AOGenNum3"/>
    <w:next w:val="AOGenNum3List2"/>
    <w:uiPriority w:val="45"/>
    <w:rsid w:val="00137772"/>
    <w:pPr>
      <w:numPr>
        <w:ilvl w:val="1"/>
      </w:numPr>
    </w:pPr>
  </w:style>
  <w:style w:type="paragraph" w:customStyle="1" w:styleId="AOTitle">
    <w:name w:val="AOTitle"/>
    <w:basedOn w:val="AOHeadings"/>
    <w:next w:val="AODocTxt"/>
    <w:uiPriority w:val="99"/>
    <w:rsid w:val="00137772"/>
    <w:pPr>
      <w:jc w:val="center"/>
    </w:pPr>
    <w:rPr>
      <w:b/>
      <w:caps/>
    </w:rPr>
  </w:style>
  <w:style w:type="paragraph" w:customStyle="1" w:styleId="AOTOCHeading">
    <w:name w:val="AOTOCHeading"/>
    <w:basedOn w:val="AOHeadings"/>
    <w:next w:val="AODocTxt"/>
    <w:uiPriority w:val="99"/>
    <w:rsid w:val="00137772"/>
    <w:pPr>
      <w:tabs>
        <w:tab w:val="right" w:pos="9609"/>
      </w:tabs>
      <w:spacing w:after="240"/>
    </w:pPr>
    <w:rPr>
      <w:b/>
    </w:rPr>
  </w:style>
  <w:style w:type="paragraph" w:customStyle="1" w:styleId="AOTOCs">
    <w:name w:val="AOTOCs"/>
    <w:basedOn w:val="AONormal"/>
    <w:next w:val="TOC1"/>
    <w:uiPriority w:val="99"/>
    <w:rsid w:val="00137772"/>
    <w:pPr>
      <w:tabs>
        <w:tab w:val="right" w:leader="dot" w:pos="9638"/>
      </w:tabs>
      <w:jc w:val="both"/>
    </w:pPr>
  </w:style>
  <w:style w:type="paragraph" w:styleId="TOC1">
    <w:name w:val="toc 1"/>
    <w:basedOn w:val="AOTOCs"/>
    <w:next w:val="AONormal"/>
    <w:autoRedefine/>
    <w:uiPriority w:val="39"/>
    <w:rsid w:val="002C0952"/>
    <w:pPr>
      <w:tabs>
        <w:tab w:val="left" w:pos="720"/>
      </w:tabs>
      <w:ind w:left="720" w:hanging="720"/>
      <w:jc w:val="left"/>
    </w:pPr>
  </w:style>
  <w:style w:type="paragraph" w:customStyle="1" w:styleId="AOTOC1">
    <w:name w:val="AOTOC1"/>
    <w:basedOn w:val="AOTOCs"/>
    <w:uiPriority w:val="99"/>
    <w:rsid w:val="00137772"/>
    <w:pPr>
      <w:tabs>
        <w:tab w:val="left" w:pos="720"/>
      </w:tabs>
    </w:pPr>
    <w:rPr>
      <w:b/>
      <w:caps/>
    </w:rPr>
  </w:style>
  <w:style w:type="paragraph" w:customStyle="1" w:styleId="AOTOC2">
    <w:name w:val="AOTOC2"/>
    <w:basedOn w:val="AOTOCs"/>
    <w:uiPriority w:val="99"/>
    <w:rsid w:val="00137772"/>
    <w:pPr>
      <w:tabs>
        <w:tab w:val="left" w:pos="720"/>
      </w:tabs>
    </w:pPr>
  </w:style>
  <w:style w:type="paragraph" w:customStyle="1" w:styleId="AOTOC3">
    <w:name w:val="AOTOC3"/>
    <w:basedOn w:val="AOTOCs"/>
    <w:uiPriority w:val="99"/>
    <w:rsid w:val="00137772"/>
    <w:pPr>
      <w:ind w:left="720"/>
    </w:pPr>
    <w:rPr>
      <w:b/>
    </w:rPr>
  </w:style>
  <w:style w:type="paragraph" w:customStyle="1" w:styleId="AOTOC4">
    <w:name w:val="AOTOC4"/>
    <w:basedOn w:val="AOTOCs"/>
    <w:uiPriority w:val="99"/>
    <w:rsid w:val="00137772"/>
    <w:pPr>
      <w:ind w:left="720"/>
    </w:pPr>
  </w:style>
  <w:style w:type="paragraph" w:customStyle="1" w:styleId="AOTOC5">
    <w:name w:val="AOTOC5"/>
    <w:basedOn w:val="AOTOCs"/>
    <w:uiPriority w:val="99"/>
    <w:rsid w:val="00137772"/>
    <w:pPr>
      <w:ind w:left="720"/>
    </w:pPr>
    <w:rPr>
      <w:i/>
    </w:rPr>
  </w:style>
  <w:style w:type="paragraph" w:styleId="TOC2">
    <w:name w:val="toc 2"/>
    <w:basedOn w:val="AOTOCs"/>
    <w:next w:val="AONormal"/>
    <w:autoRedefine/>
    <w:uiPriority w:val="39"/>
    <w:semiHidden/>
    <w:rsid w:val="00137772"/>
    <w:pPr>
      <w:tabs>
        <w:tab w:val="left" w:pos="1797"/>
      </w:tabs>
      <w:ind w:left="1797" w:right="720" w:hanging="1077"/>
      <w:jc w:val="left"/>
    </w:pPr>
  </w:style>
  <w:style w:type="paragraph" w:styleId="TOC3">
    <w:name w:val="toc 3"/>
    <w:basedOn w:val="AOTOCs"/>
    <w:next w:val="AONormal"/>
    <w:autoRedefine/>
    <w:uiPriority w:val="39"/>
    <w:rsid w:val="002C0952"/>
    <w:pPr>
      <w:numPr>
        <w:numId w:val="12"/>
      </w:numPr>
      <w:ind w:right="720"/>
      <w:jc w:val="left"/>
    </w:pPr>
  </w:style>
  <w:style w:type="paragraph" w:styleId="TOC4">
    <w:name w:val="toc 4"/>
    <w:basedOn w:val="AOTOCs"/>
    <w:next w:val="AONormal"/>
    <w:autoRedefine/>
    <w:uiPriority w:val="39"/>
    <w:semiHidden/>
    <w:rsid w:val="00137772"/>
    <w:pPr>
      <w:numPr>
        <w:ilvl w:val="1"/>
        <w:numId w:val="12"/>
      </w:numPr>
      <w:tabs>
        <w:tab w:val="left" w:pos="1797"/>
      </w:tabs>
      <w:ind w:right="720"/>
      <w:jc w:val="left"/>
    </w:pPr>
  </w:style>
  <w:style w:type="paragraph" w:styleId="TOC5">
    <w:name w:val="toc 5"/>
    <w:basedOn w:val="AOTOCs"/>
    <w:next w:val="AONormal"/>
    <w:autoRedefine/>
    <w:uiPriority w:val="39"/>
    <w:semiHidden/>
    <w:rsid w:val="00137772"/>
    <w:pPr>
      <w:spacing w:before="240"/>
      <w:jc w:val="left"/>
    </w:pPr>
  </w:style>
  <w:style w:type="paragraph" w:styleId="TOC6">
    <w:name w:val="toc 6"/>
    <w:basedOn w:val="AOTOCs"/>
    <w:next w:val="AONormal"/>
    <w:autoRedefine/>
    <w:uiPriority w:val="39"/>
    <w:rsid w:val="00137772"/>
    <w:pPr>
      <w:numPr>
        <w:numId w:val="13"/>
      </w:numPr>
      <w:ind w:right="720"/>
      <w:jc w:val="left"/>
    </w:pPr>
  </w:style>
  <w:style w:type="paragraph" w:styleId="TOC7">
    <w:name w:val="toc 7"/>
    <w:basedOn w:val="AOTOCs"/>
    <w:next w:val="AONormal"/>
    <w:autoRedefine/>
    <w:uiPriority w:val="39"/>
    <w:rsid w:val="00137772"/>
    <w:pPr>
      <w:numPr>
        <w:ilvl w:val="1"/>
        <w:numId w:val="13"/>
      </w:numPr>
      <w:tabs>
        <w:tab w:val="left" w:pos="1797"/>
      </w:tabs>
      <w:ind w:right="720"/>
      <w:jc w:val="left"/>
    </w:pPr>
  </w:style>
  <w:style w:type="paragraph" w:styleId="TOC8">
    <w:name w:val="toc 8"/>
    <w:basedOn w:val="AOTOCs"/>
    <w:next w:val="AONormal"/>
    <w:autoRedefine/>
    <w:uiPriority w:val="39"/>
    <w:rsid w:val="00137772"/>
    <w:pPr>
      <w:numPr>
        <w:numId w:val="14"/>
      </w:numPr>
      <w:ind w:right="720"/>
      <w:jc w:val="left"/>
    </w:pPr>
  </w:style>
  <w:style w:type="paragraph" w:styleId="TOC9">
    <w:name w:val="toc 9"/>
    <w:basedOn w:val="AOTOCs"/>
    <w:next w:val="AONormal"/>
    <w:autoRedefine/>
    <w:uiPriority w:val="39"/>
    <w:rsid w:val="00137772"/>
    <w:pPr>
      <w:numPr>
        <w:ilvl w:val="1"/>
        <w:numId w:val="14"/>
      </w:numPr>
      <w:tabs>
        <w:tab w:val="left" w:pos="1797"/>
      </w:tabs>
      <w:ind w:right="720"/>
      <w:jc w:val="left"/>
    </w:pPr>
  </w:style>
  <w:style w:type="paragraph" w:styleId="FootnoteText">
    <w:name w:val="footnote text"/>
    <w:basedOn w:val="AONormal"/>
    <w:link w:val="FootnoteTextChar"/>
    <w:uiPriority w:val="99"/>
    <w:rsid w:val="00137772"/>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137772"/>
    <w:rPr>
      <w:rFonts w:cs="Times New Roman"/>
      <w:sz w:val="16"/>
      <w:szCs w:val="20"/>
    </w:rPr>
  </w:style>
  <w:style w:type="paragraph" w:customStyle="1" w:styleId="AOFPBP">
    <w:name w:val="AOFPBP"/>
    <w:basedOn w:val="AONormal"/>
    <w:next w:val="AOFPTxt"/>
    <w:uiPriority w:val="99"/>
    <w:rsid w:val="00137772"/>
    <w:pPr>
      <w:jc w:val="center"/>
    </w:pPr>
  </w:style>
  <w:style w:type="paragraph" w:customStyle="1" w:styleId="AOFPTxt">
    <w:name w:val="AOFPTxt"/>
    <w:basedOn w:val="AOFPBP"/>
    <w:link w:val="AOFPTxtChar"/>
    <w:uiPriority w:val="99"/>
    <w:rsid w:val="00137772"/>
    <w:rPr>
      <w:b/>
    </w:rPr>
  </w:style>
  <w:style w:type="paragraph" w:customStyle="1" w:styleId="AOBPTitle">
    <w:name w:val="AOBPTitle"/>
    <w:basedOn w:val="AOFPBP"/>
    <w:uiPriority w:val="99"/>
    <w:rsid w:val="00137772"/>
    <w:rPr>
      <w:b/>
      <w:caps/>
    </w:rPr>
  </w:style>
  <w:style w:type="paragraph" w:customStyle="1" w:styleId="AOBPTxtC">
    <w:name w:val="AOBPTxtC"/>
    <w:basedOn w:val="AOFPBP"/>
    <w:uiPriority w:val="99"/>
    <w:rsid w:val="00137772"/>
  </w:style>
  <w:style w:type="paragraph" w:customStyle="1" w:styleId="AOBPTxtL">
    <w:name w:val="AOBPTxtL"/>
    <w:basedOn w:val="AOFPBP"/>
    <w:uiPriority w:val="99"/>
    <w:rsid w:val="00137772"/>
    <w:pPr>
      <w:jc w:val="left"/>
    </w:pPr>
  </w:style>
  <w:style w:type="paragraph" w:customStyle="1" w:styleId="AOBPTxtR">
    <w:name w:val="AOBPTxtR"/>
    <w:basedOn w:val="AOFPBP"/>
    <w:uiPriority w:val="99"/>
    <w:rsid w:val="00137772"/>
    <w:pPr>
      <w:jc w:val="right"/>
    </w:pPr>
  </w:style>
  <w:style w:type="paragraph" w:customStyle="1" w:styleId="AOLocation">
    <w:name w:val="AOLocation"/>
    <w:basedOn w:val="AOFPBP"/>
    <w:uiPriority w:val="99"/>
    <w:rsid w:val="00137772"/>
    <w:pPr>
      <w:spacing w:before="160"/>
    </w:pPr>
    <w:rPr>
      <w:b/>
      <w:caps/>
    </w:rPr>
  </w:style>
  <w:style w:type="paragraph" w:customStyle="1" w:styleId="AOFPTxtCaps">
    <w:name w:val="AOFPTxtCaps"/>
    <w:basedOn w:val="AOFPTxt"/>
    <w:uiPriority w:val="99"/>
    <w:rsid w:val="00137772"/>
    <w:rPr>
      <w:caps/>
    </w:rPr>
  </w:style>
  <w:style w:type="paragraph" w:customStyle="1" w:styleId="AOFPTitle">
    <w:name w:val="AOFPTitle"/>
    <w:basedOn w:val="AOFPTxt"/>
    <w:uiPriority w:val="99"/>
    <w:rsid w:val="00137772"/>
    <w:rPr>
      <w:caps/>
      <w:sz w:val="32"/>
    </w:rPr>
  </w:style>
  <w:style w:type="paragraph" w:customStyle="1" w:styleId="AOFPDate">
    <w:name w:val="AOFPDate"/>
    <w:basedOn w:val="AOFPTxt"/>
    <w:uiPriority w:val="99"/>
    <w:rsid w:val="00137772"/>
    <w:rPr>
      <w:caps/>
    </w:rPr>
  </w:style>
  <w:style w:type="paragraph" w:customStyle="1" w:styleId="AOFPCopyright">
    <w:name w:val="AOFPCopyright"/>
    <w:basedOn w:val="AOFPTxt"/>
    <w:uiPriority w:val="99"/>
    <w:rsid w:val="00137772"/>
    <w:pPr>
      <w:jc w:val="left"/>
    </w:pPr>
    <w:rPr>
      <w:caps/>
    </w:rPr>
  </w:style>
  <w:style w:type="paragraph" w:customStyle="1" w:styleId="AOHeading5">
    <w:name w:val="AOHeading5"/>
    <w:basedOn w:val="AOHeadings"/>
    <w:next w:val="AODocTxtL1"/>
    <w:uiPriority w:val="59"/>
    <w:rsid w:val="00137772"/>
    <w:pPr>
      <w:keepNext/>
      <w:ind w:left="720"/>
      <w:outlineLvl w:val="4"/>
    </w:pPr>
    <w:rPr>
      <w:i/>
    </w:rPr>
  </w:style>
  <w:style w:type="paragraph" w:customStyle="1" w:styleId="AOHeading6">
    <w:name w:val="AOHeading6"/>
    <w:basedOn w:val="AOHeadings"/>
    <w:next w:val="AODocTxt"/>
    <w:uiPriority w:val="59"/>
    <w:rsid w:val="00137772"/>
    <w:pPr>
      <w:keepNext/>
      <w:outlineLvl w:val="5"/>
    </w:pPr>
    <w:rPr>
      <w:b/>
      <w:i/>
    </w:rPr>
  </w:style>
  <w:style w:type="paragraph" w:customStyle="1" w:styleId="AOHeading7">
    <w:name w:val="AOHeading7"/>
    <w:basedOn w:val="AOHeadings"/>
    <w:next w:val="AODocTxtL1"/>
    <w:uiPriority w:val="59"/>
    <w:rsid w:val="00137772"/>
    <w:pPr>
      <w:keepNext/>
      <w:ind w:left="720"/>
      <w:outlineLvl w:val="6"/>
    </w:pPr>
    <w:rPr>
      <w:b/>
      <w:i/>
    </w:rPr>
  </w:style>
  <w:style w:type="paragraph" w:customStyle="1" w:styleId="AONormal10">
    <w:name w:val="AONormal10"/>
    <w:basedOn w:val="AONormal"/>
    <w:uiPriority w:val="99"/>
    <w:rsid w:val="00137772"/>
    <w:rPr>
      <w:sz w:val="20"/>
    </w:rPr>
  </w:style>
  <w:style w:type="paragraph" w:customStyle="1" w:styleId="AONormal8L">
    <w:name w:val="AONormal8L"/>
    <w:basedOn w:val="AONormal"/>
    <w:uiPriority w:val="99"/>
    <w:rsid w:val="00137772"/>
    <w:pPr>
      <w:spacing w:line="220" w:lineRule="atLeast"/>
    </w:pPr>
    <w:rPr>
      <w:rFonts w:ascii="Arial" w:hAnsi="Arial" w:cs="Arial"/>
      <w:sz w:val="16"/>
    </w:rPr>
  </w:style>
  <w:style w:type="paragraph" w:customStyle="1" w:styleId="AONormal8LBold">
    <w:name w:val="AONormal8LBold"/>
    <w:basedOn w:val="AONormal8L"/>
    <w:uiPriority w:val="99"/>
    <w:rsid w:val="00137772"/>
    <w:rPr>
      <w:b/>
    </w:rPr>
  </w:style>
  <w:style w:type="paragraph" w:customStyle="1" w:styleId="AONormal8C">
    <w:name w:val="AONormal8C"/>
    <w:basedOn w:val="AONormal8L"/>
    <w:uiPriority w:val="99"/>
    <w:rsid w:val="00137772"/>
    <w:pPr>
      <w:jc w:val="center"/>
    </w:pPr>
  </w:style>
  <w:style w:type="paragraph" w:customStyle="1" w:styleId="AONormal8R">
    <w:name w:val="AONormal8R"/>
    <w:basedOn w:val="AONormal8L"/>
    <w:uiPriority w:val="99"/>
    <w:rsid w:val="00137772"/>
    <w:pPr>
      <w:jc w:val="right"/>
    </w:pPr>
  </w:style>
  <w:style w:type="paragraph" w:customStyle="1" w:styleId="AONormalBold">
    <w:name w:val="AONormalBold"/>
    <w:basedOn w:val="AONormal"/>
    <w:uiPriority w:val="99"/>
    <w:rsid w:val="00137772"/>
    <w:rPr>
      <w:b/>
    </w:rPr>
  </w:style>
  <w:style w:type="paragraph" w:customStyle="1" w:styleId="AONormal6L">
    <w:name w:val="AONormal6L"/>
    <w:basedOn w:val="AONormal8L"/>
    <w:uiPriority w:val="99"/>
    <w:rsid w:val="00137772"/>
    <w:pPr>
      <w:spacing w:line="160" w:lineRule="atLeast"/>
      <w:jc w:val="both"/>
    </w:pPr>
    <w:rPr>
      <w:sz w:val="12"/>
    </w:rPr>
  </w:style>
  <w:style w:type="paragraph" w:customStyle="1" w:styleId="AONormal6C">
    <w:name w:val="AONormal6C"/>
    <w:basedOn w:val="AONormal6L"/>
    <w:uiPriority w:val="99"/>
    <w:rsid w:val="00137772"/>
    <w:pPr>
      <w:jc w:val="center"/>
    </w:pPr>
  </w:style>
  <w:style w:type="paragraph" w:customStyle="1" w:styleId="AONormal6R">
    <w:name w:val="AONormal6R"/>
    <w:basedOn w:val="AONormal6L"/>
    <w:uiPriority w:val="99"/>
    <w:rsid w:val="00137772"/>
    <w:pPr>
      <w:jc w:val="right"/>
    </w:pPr>
  </w:style>
  <w:style w:type="paragraph" w:customStyle="1" w:styleId="AOTitle18">
    <w:name w:val="AOTitle18"/>
    <w:basedOn w:val="AONormal"/>
    <w:uiPriority w:val="99"/>
    <w:rsid w:val="00137772"/>
    <w:rPr>
      <w:b/>
      <w:sz w:val="36"/>
    </w:rPr>
  </w:style>
  <w:style w:type="paragraph" w:customStyle="1" w:styleId="AOSignatory">
    <w:name w:val="AOSignatory"/>
    <w:basedOn w:val="AOBodyTxt"/>
    <w:next w:val="AODocTxt"/>
    <w:uiPriority w:val="29"/>
    <w:qFormat/>
    <w:rsid w:val="00137772"/>
    <w:pPr>
      <w:pageBreakBefore/>
      <w:spacing w:after="240"/>
      <w:jc w:val="center"/>
    </w:pPr>
    <w:rPr>
      <w:b/>
      <w:caps/>
    </w:rPr>
  </w:style>
  <w:style w:type="paragraph" w:customStyle="1" w:styleId="AOTOCTitle">
    <w:name w:val="AOTOCTitle"/>
    <w:basedOn w:val="AOHeadings"/>
    <w:next w:val="AOTOCHeading"/>
    <w:uiPriority w:val="99"/>
    <w:rsid w:val="00137772"/>
    <w:pPr>
      <w:jc w:val="center"/>
    </w:pPr>
    <w:rPr>
      <w:b/>
      <w:caps/>
    </w:rPr>
  </w:style>
  <w:style w:type="paragraph" w:customStyle="1" w:styleId="AOHidden">
    <w:name w:val="AOHidden"/>
    <w:basedOn w:val="AONormal"/>
    <w:uiPriority w:val="59"/>
    <w:rsid w:val="00137772"/>
    <w:pPr>
      <w:spacing w:before="240"/>
      <w:jc w:val="both"/>
    </w:pPr>
    <w:rPr>
      <w:vanish/>
    </w:rPr>
  </w:style>
  <w:style w:type="paragraph" w:styleId="CommentText">
    <w:name w:val="annotation text"/>
    <w:basedOn w:val="AONormal"/>
    <w:link w:val="CommentTextChar"/>
    <w:uiPriority w:val="99"/>
    <w:semiHidden/>
    <w:rsid w:val="00137772"/>
    <w:pPr>
      <w:spacing w:line="240" w:lineRule="auto"/>
    </w:pPr>
    <w:rPr>
      <w:sz w:val="16"/>
      <w:szCs w:val="20"/>
    </w:rPr>
  </w:style>
  <w:style w:type="character" w:customStyle="1" w:styleId="CommentTextChar">
    <w:name w:val="Comment Text Char"/>
    <w:basedOn w:val="DefaultParagraphFont"/>
    <w:link w:val="CommentText"/>
    <w:uiPriority w:val="99"/>
    <w:semiHidden/>
    <w:rsid w:val="00137772"/>
    <w:rPr>
      <w:rFonts w:cs="Times New Roman"/>
      <w:sz w:val="16"/>
      <w:szCs w:val="20"/>
    </w:rPr>
  </w:style>
  <w:style w:type="paragraph" w:styleId="EndnoteText">
    <w:name w:val="endnote text"/>
    <w:basedOn w:val="AONormal"/>
    <w:link w:val="EndnoteTextChar"/>
    <w:uiPriority w:val="99"/>
    <w:semiHidden/>
    <w:rsid w:val="00137772"/>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37772"/>
    <w:rPr>
      <w:rFonts w:cs="Times New Roman"/>
      <w:sz w:val="16"/>
      <w:szCs w:val="20"/>
    </w:rPr>
  </w:style>
  <w:style w:type="character" w:customStyle="1" w:styleId="Heading1Char">
    <w:name w:val="Heading 1 Char"/>
    <w:basedOn w:val="DefaultParagraphFont"/>
    <w:link w:val="Heading1"/>
    <w:uiPriority w:val="9"/>
    <w:rsid w:val="00137772"/>
    <w:rPr>
      <w:rFonts w:eastAsia="Times New Roman" w:cs="Times New Roman"/>
      <w:b/>
      <w:bCs/>
      <w:caps/>
      <w:szCs w:val="28"/>
    </w:rPr>
  </w:style>
  <w:style w:type="character" w:customStyle="1" w:styleId="Heading2Char">
    <w:name w:val="Heading 2 Char"/>
    <w:basedOn w:val="DefaultParagraphFont"/>
    <w:link w:val="Heading2"/>
    <w:uiPriority w:val="9"/>
    <w:rsid w:val="00137772"/>
    <w:rPr>
      <w:rFonts w:eastAsia="Times New Roman" w:cs="Times New Roman"/>
      <w:b/>
      <w:bCs/>
      <w:szCs w:val="26"/>
    </w:rPr>
  </w:style>
  <w:style w:type="character" w:customStyle="1" w:styleId="Heading3Char">
    <w:name w:val="Heading 3 Char"/>
    <w:basedOn w:val="DefaultParagraphFont"/>
    <w:link w:val="Heading3"/>
    <w:uiPriority w:val="9"/>
    <w:rsid w:val="00137772"/>
    <w:rPr>
      <w:rFonts w:eastAsia="Times New Roman" w:cs="Times New Roman"/>
      <w:bCs/>
    </w:rPr>
  </w:style>
  <w:style w:type="character" w:customStyle="1" w:styleId="Heading4Char">
    <w:name w:val="Heading 4 Char"/>
    <w:basedOn w:val="DefaultParagraphFont"/>
    <w:link w:val="Heading4"/>
    <w:uiPriority w:val="9"/>
    <w:rsid w:val="00137772"/>
    <w:rPr>
      <w:rFonts w:eastAsia="Times New Roman" w:cs="Times New Roman"/>
      <w:bCs/>
      <w:iCs/>
    </w:rPr>
  </w:style>
  <w:style w:type="character" w:customStyle="1" w:styleId="Heading5Char">
    <w:name w:val="Heading 5 Char"/>
    <w:basedOn w:val="DefaultParagraphFont"/>
    <w:link w:val="Heading5"/>
    <w:uiPriority w:val="9"/>
    <w:rsid w:val="00137772"/>
    <w:rPr>
      <w:rFonts w:eastAsia="Times New Roman" w:cs="Times New Roman"/>
    </w:rPr>
  </w:style>
  <w:style w:type="character" w:customStyle="1" w:styleId="Heading6Char">
    <w:name w:val="Heading 6 Char"/>
    <w:basedOn w:val="DefaultParagraphFont"/>
    <w:link w:val="Heading6"/>
    <w:uiPriority w:val="9"/>
    <w:rsid w:val="00137772"/>
    <w:rPr>
      <w:rFonts w:eastAsia="Times New Roman" w:cs="Times New Roman"/>
      <w:iCs/>
    </w:rPr>
  </w:style>
  <w:style w:type="character" w:customStyle="1" w:styleId="Heading7Char">
    <w:name w:val="Heading 7 Char"/>
    <w:basedOn w:val="DefaultParagraphFont"/>
    <w:link w:val="Heading7"/>
    <w:uiPriority w:val="9"/>
    <w:semiHidden/>
    <w:rsid w:val="00137772"/>
    <w:rPr>
      <w:rFonts w:eastAsia="Times New Roman" w:cs="Times New Roman"/>
      <w:iCs/>
    </w:rPr>
  </w:style>
  <w:style w:type="character" w:customStyle="1" w:styleId="Heading8Char">
    <w:name w:val="Heading 8 Char"/>
    <w:basedOn w:val="DefaultParagraphFont"/>
    <w:link w:val="Heading8"/>
    <w:uiPriority w:val="9"/>
    <w:semiHidden/>
    <w:rsid w:val="00137772"/>
    <w:rPr>
      <w:rFonts w:eastAsia="Times New Roman" w:cs="Times New Roman"/>
      <w:szCs w:val="20"/>
    </w:rPr>
  </w:style>
  <w:style w:type="character" w:customStyle="1" w:styleId="Heading9Char">
    <w:name w:val="Heading 9 Char"/>
    <w:basedOn w:val="DefaultParagraphFont"/>
    <w:link w:val="Heading9"/>
    <w:uiPriority w:val="9"/>
    <w:semiHidden/>
    <w:rsid w:val="00137772"/>
    <w:rPr>
      <w:rFonts w:eastAsia="Times New Roman" w:cs="Times New Roman"/>
      <w:iCs/>
      <w:szCs w:val="20"/>
    </w:rPr>
  </w:style>
  <w:style w:type="paragraph" w:styleId="TOAHeading">
    <w:name w:val="toa heading"/>
    <w:basedOn w:val="AONormal"/>
    <w:next w:val="TableofAuthorities"/>
    <w:uiPriority w:val="99"/>
    <w:semiHidden/>
    <w:rsid w:val="00137772"/>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37772"/>
    <w:pPr>
      <w:tabs>
        <w:tab w:val="right" w:leader="dot" w:pos="9490"/>
      </w:tabs>
      <w:spacing w:before="240" w:line="240" w:lineRule="auto"/>
      <w:ind w:left="720" w:hanging="720"/>
    </w:pPr>
  </w:style>
  <w:style w:type="paragraph" w:styleId="EnvelopeAddress">
    <w:name w:val="envelope address"/>
    <w:basedOn w:val="Normal"/>
    <w:uiPriority w:val="99"/>
    <w:semiHidden/>
    <w:rsid w:val="00137772"/>
    <w:pPr>
      <w:ind w:left="2880"/>
    </w:pPr>
    <w:rPr>
      <w:rFonts w:eastAsia="Times New Roman"/>
      <w:szCs w:val="24"/>
    </w:rPr>
  </w:style>
  <w:style w:type="paragraph" w:styleId="EnvelopeReturn">
    <w:name w:val="envelope return"/>
    <w:basedOn w:val="Normal"/>
    <w:uiPriority w:val="99"/>
    <w:semiHidden/>
    <w:rsid w:val="00137772"/>
    <w:rPr>
      <w:rFonts w:eastAsia="Times New Roman"/>
      <w:sz w:val="20"/>
      <w:szCs w:val="20"/>
    </w:rPr>
  </w:style>
  <w:style w:type="paragraph" w:customStyle="1" w:styleId="AOListNumber">
    <w:name w:val="AOListNumber"/>
    <w:basedOn w:val="AOBodyTxt"/>
    <w:uiPriority w:val="49"/>
    <w:qFormat/>
    <w:rsid w:val="00137772"/>
    <w:pPr>
      <w:numPr>
        <w:numId w:val="15"/>
      </w:numPr>
    </w:pPr>
  </w:style>
  <w:style w:type="character" w:styleId="PlaceholderText">
    <w:name w:val="Placeholder Text"/>
    <w:basedOn w:val="DefaultParagraphFont"/>
    <w:uiPriority w:val="99"/>
    <w:semiHidden/>
    <w:rsid w:val="00137772"/>
    <w:rPr>
      <w:color w:val="808080"/>
    </w:rPr>
  </w:style>
  <w:style w:type="paragraph" w:styleId="BalloonText">
    <w:name w:val="Balloon Text"/>
    <w:basedOn w:val="Normal"/>
    <w:link w:val="BalloonTextChar"/>
    <w:uiPriority w:val="99"/>
    <w:semiHidden/>
    <w:rsid w:val="00137772"/>
    <w:rPr>
      <w:rFonts w:ascii="Tahoma" w:hAnsi="Tahoma" w:cs="Tahoma"/>
      <w:sz w:val="16"/>
      <w:szCs w:val="16"/>
    </w:rPr>
  </w:style>
  <w:style w:type="character" w:customStyle="1" w:styleId="BalloonTextChar">
    <w:name w:val="Balloon Text Char"/>
    <w:basedOn w:val="DefaultParagraphFont"/>
    <w:link w:val="BalloonText"/>
    <w:uiPriority w:val="99"/>
    <w:semiHidden/>
    <w:rsid w:val="00137772"/>
    <w:rPr>
      <w:rFonts w:ascii="Tahoma" w:hAnsi="Tahoma" w:cs="Tahoma"/>
      <w:sz w:val="16"/>
      <w:szCs w:val="16"/>
    </w:rPr>
  </w:style>
  <w:style w:type="table" w:styleId="TableGrid">
    <w:name w:val="Table Grid"/>
    <w:basedOn w:val="TableNormal"/>
    <w:uiPriority w:val="59"/>
    <w:rsid w:val="00137772"/>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137772"/>
    <w:pPr>
      <w:tabs>
        <w:tab w:val="num" w:pos="720"/>
      </w:tabs>
      <w:ind w:left="720" w:hanging="720"/>
      <w:contextualSpacing/>
    </w:pPr>
  </w:style>
  <w:style w:type="paragraph" w:styleId="ListNumber">
    <w:name w:val="List Number"/>
    <w:basedOn w:val="Normal"/>
    <w:uiPriority w:val="99"/>
    <w:semiHidden/>
    <w:rsid w:val="00137772"/>
    <w:pPr>
      <w:tabs>
        <w:tab w:val="num" w:pos="720"/>
      </w:tabs>
      <w:ind w:left="720" w:hanging="720"/>
      <w:contextualSpacing/>
    </w:pPr>
  </w:style>
  <w:style w:type="table" w:customStyle="1" w:styleId="AOHdrFtrTblStyle">
    <w:name w:val="AOHdrFtrTblStyle"/>
    <w:basedOn w:val="TableGrid"/>
    <w:rsid w:val="00137772"/>
    <w:tblPr/>
    <w:tcPr>
      <w:shd w:val="clear" w:color="auto" w:fill="auto"/>
    </w:tcPr>
  </w:style>
  <w:style w:type="paragraph" w:styleId="BodyText">
    <w:name w:val="Body Text"/>
    <w:basedOn w:val="Normal"/>
    <w:link w:val="BodyTextChar"/>
    <w:qFormat/>
    <w:rsid w:val="00A4422A"/>
    <w:pPr>
      <w:spacing w:after="240"/>
      <w:jc w:val="both"/>
    </w:pPr>
    <w:rPr>
      <w:rFonts w:ascii="Bembo" w:eastAsia="SimSun" w:hAnsi="Bembo"/>
      <w:sz w:val="26"/>
      <w:szCs w:val="24"/>
      <w:lang w:val="es-ES" w:eastAsia="zh-CN"/>
    </w:rPr>
  </w:style>
  <w:style w:type="character" w:customStyle="1" w:styleId="BodyTextChar">
    <w:name w:val="Body Text Char"/>
    <w:basedOn w:val="DefaultParagraphFont"/>
    <w:link w:val="BodyText"/>
    <w:rsid w:val="00A4422A"/>
    <w:rPr>
      <w:rFonts w:ascii="Bembo" w:eastAsia="SimSun" w:hAnsi="Bembo" w:cs="Times New Roman"/>
      <w:sz w:val="26"/>
      <w:szCs w:val="24"/>
      <w:lang w:val="es-ES" w:eastAsia="zh-CN"/>
    </w:rPr>
  </w:style>
  <w:style w:type="paragraph" w:customStyle="1" w:styleId="a">
    <w:name w:val="(a)"/>
    <w:basedOn w:val="BodyText"/>
    <w:rsid w:val="00A4422A"/>
    <w:pPr>
      <w:ind w:left="720" w:hanging="720"/>
    </w:pPr>
  </w:style>
  <w:style w:type="paragraph" w:styleId="BodyText2">
    <w:name w:val="Body Text 2"/>
    <w:basedOn w:val="Normal"/>
    <w:link w:val="BodyText2Char"/>
    <w:rsid w:val="00A4422A"/>
    <w:pPr>
      <w:spacing w:after="240"/>
      <w:jc w:val="both"/>
    </w:pPr>
    <w:rPr>
      <w:rFonts w:ascii="Bembo" w:eastAsia="SimSun" w:hAnsi="Bembo"/>
      <w:sz w:val="26"/>
      <w:szCs w:val="24"/>
      <w:lang w:val="es-ES" w:eastAsia="zh-CN"/>
    </w:rPr>
  </w:style>
  <w:style w:type="character" w:customStyle="1" w:styleId="BodyText2Char">
    <w:name w:val="Body Text 2 Char"/>
    <w:basedOn w:val="DefaultParagraphFont"/>
    <w:link w:val="BodyText2"/>
    <w:rsid w:val="00A4422A"/>
    <w:rPr>
      <w:rFonts w:ascii="Bembo" w:eastAsia="SimSun" w:hAnsi="Bembo" w:cs="Times New Roman"/>
      <w:sz w:val="26"/>
      <w:szCs w:val="24"/>
      <w:lang w:val="es-ES" w:eastAsia="zh-CN"/>
    </w:rPr>
  </w:style>
  <w:style w:type="paragraph" w:customStyle="1" w:styleId="FWBL1">
    <w:name w:val="FWB_L1"/>
    <w:basedOn w:val="Normal"/>
    <w:next w:val="FWBL2"/>
    <w:rsid w:val="00A4422A"/>
    <w:pPr>
      <w:keepNext/>
      <w:keepLines/>
      <w:numPr>
        <w:numId w:val="16"/>
      </w:numPr>
      <w:tabs>
        <w:tab w:val="clear" w:pos="360"/>
        <w:tab w:val="num" w:pos="720"/>
      </w:tabs>
      <w:spacing w:after="240"/>
      <w:ind w:left="0" w:firstLine="0"/>
      <w:outlineLvl w:val="0"/>
    </w:pPr>
    <w:rPr>
      <w:rFonts w:eastAsia="Times New Roman"/>
      <w:b/>
      <w:smallCaps/>
      <w:sz w:val="24"/>
      <w:szCs w:val="20"/>
      <w:lang w:val="es-ES"/>
    </w:rPr>
  </w:style>
  <w:style w:type="paragraph" w:customStyle="1" w:styleId="FWBL2">
    <w:name w:val="FWB_L2"/>
    <w:basedOn w:val="FWBL1"/>
    <w:link w:val="FWBL2Char"/>
    <w:rsid w:val="00A4422A"/>
    <w:pPr>
      <w:keepNext w:val="0"/>
      <w:keepLines w:val="0"/>
      <w:numPr>
        <w:ilvl w:val="1"/>
      </w:numPr>
      <w:tabs>
        <w:tab w:val="clear" w:pos="1440"/>
      </w:tabs>
      <w:ind w:left="1797" w:hanging="1077"/>
      <w:jc w:val="both"/>
      <w:outlineLvl w:val="9"/>
    </w:pPr>
    <w:rPr>
      <w:b w:val="0"/>
      <w:smallCaps w:val="0"/>
    </w:rPr>
  </w:style>
  <w:style w:type="paragraph" w:customStyle="1" w:styleId="FWBL3">
    <w:name w:val="FWB_L3"/>
    <w:basedOn w:val="FWBL2"/>
    <w:link w:val="FWBL3Char"/>
    <w:rsid w:val="00A4422A"/>
    <w:pPr>
      <w:numPr>
        <w:ilvl w:val="2"/>
      </w:numPr>
      <w:tabs>
        <w:tab w:val="clear" w:pos="2160"/>
        <w:tab w:val="num" w:pos="0"/>
      </w:tabs>
      <w:ind w:left="0" w:firstLine="0"/>
    </w:pPr>
  </w:style>
  <w:style w:type="paragraph" w:customStyle="1" w:styleId="FWBL4">
    <w:name w:val="FWB_L4"/>
    <w:basedOn w:val="FWBL3"/>
    <w:rsid w:val="00A4422A"/>
    <w:pPr>
      <w:numPr>
        <w:ilvl w:val="3"/>
      </w:numPr>
      <w:tabs>
        <w:tab w:val="clear" w:pos="2880"/>
        <w:tab w:val="num" w:pos="0"/>
        <w:tab w:val="num" w:pos="720"/>
      </w:tabs>
      <w:ind w:left="1440" w:hanging="216"/>
    </w:pPr>
  </w:style>
  <w:style w:type="paragraph" w:customStyle="1" w:styleId="FWBL5">
    <w:name w:val="FWB_L5"/>
    <w:basedOn w:val="FWBL4"/>
    <w:rsid w:val="00A4422A"/>
    <w:pPr>
      <w:numPr>
        <w:ilvl w:val="4"/>
      </w:numPr>
      <w:tabs>
        <w:tab w:val="clear" w:pos="3600"/>
        <w:tab w:val="num" w:pos="0"/>
        <w:tab w:val="num" w:pos="720"/>
      </w:tabs>
      <w:ind w:left="2160" w:hanging="720"/>
    </w:pPr>
  </w:style>
  <w:style w:type="paragraph" w:customStyle="1" w:styleId="FWBL6">
    <w:name w:val="FWB_L6"/>
    <w:basedOn w:val="FWBL5"/>
    <w:rsid w:val="00A4422A"/>
    <w:pPr>
      <w:numPr>
        <w:ilvl w:val="5"/>
      </w:numPr>
      <w:tabs>
        <w:tab w:val="clear" w:pos="4320"/>
        <w:tab w:val="num" w:pos="0"/>
        <w:tab w:val="num" w:pos="720"/>
      </w:tabs>
      <w:ind w:left="2880" w:hanging="216"/>
    </w:pPr>
  </w:style>
  <w:style w:type="paragraph" w:customStyle="1" w:styleId="FWBL7">
    <w:name w:val="FWB_L7"/>
    <w:basedOn w:val="FWBL6"/>
    <w:rsid w:val="00A4422A"/>
    <w:pPr>
      <w:numPr>
        <w:ilvl w:val="6"/>
      </w:numPr>
      <w:tabs>
        <w:tab w:val="clear" w:pos="5040"/>
        <w:tab w:val="num" w:pos="0"/>
        <w:tab w:val="num" w:pos="720"/>
      </w:tabs>
      <w:ind w:left="3600" w:hanging="720"/>
    </w:pPr>
  </w:style>
  <w:style w:type="paragraph" w:customStyle="1" w:styleId="FWBL8">
    <w:name w:val="FWB_L8"/>
    <w:basedOn w:val="FWBL7"/>
    <w:rsid w:val="00A4422A"/>
    <w:pPr>
      <w:numPr>
        <w:ilvl w:val="7"/>
      </w:numPr>
      <w:tabs>
        <w:tab w:val="clear" w:pos="5760"/>
        <w:tab w:val="num" w:pos="0"/>
        <w:tab w:val="num" w:pos="720"/>
      </w:tabs>
      <w:ind w:left="4320" w:hanging="720"/>
    </w:pPr>
  </w:style>
  <w:style w:type="paragraph" w:customStyle="1" w:styleId="FWDL1">
    <w:name w:val="FWD_L1"/>
    <w:basedOn w:val="Normal"/>
    <w:rsid w:val="00A4422A"/>
    <w:pPr>
      <w:numPr>
        <w:numId w:val="17"/>
      </w:numPr>
      <w:spacing w:after="240"/>
      <w:jc w:val="both"/>
    </w:pPr>
    <w:rPr>
      <w:rFonts w:eastAsia="Times New Roman"/>
      <w:sz w:val="24"/>
      <w:szCs w:val="20"/>
    </w:rPr>
  </w:style>
  <w:style w:type="paragraph" w:customStyle="1" w:styleId="FWDL2">
    <w:name w:val="FWD_L2"/>
    <w:basedOn w:val="FWDL1"/>
    <w:rsid w:val="00A4422A"/>
    <w:pPr>
      <w:numPr>
        <w:ilvl w:val="1"/>
      </w:numPr>
      <w:tabs>
        <w:tab w:val="clear" w:pos="720"/>
        <w:tab w:val="num" w:pos="360"/>
      </w:tabs>
      <w:ind w:left="0" w:firstLine="0"/>
    </w:pPr>
  </w:style>
  <w:style w:type="paragraph" w:customStyle="1" w:styleId="FWDL3">
    <w:name w:val="FWD_L3"/>
    <w:basedOn w:val="FWDL2"/>
    <w:rsid w:val="00A4422A"/>
    <w:pPr>
      <w:numPr>
        <w:ilvl w:val="2"/>
      </w:numPr>
      <w:tabs>
        <w:tab w:val="clear" w:pos="1440"/>
        <w:tab w:val="num" w:pos="360"/>
        <w:tab w:val="num" w:pos="720"/>
      </w:tabs>
      <w:ind w:left="0" w:firstLine="0"/>
    </w:pPr>
  </w:style>
  <w:style w:type="paragraph" w:customStyle="1" w:styleId="FWDL4">
    <w:name w:val="FWD_L4"/>
    <w:basedOn w:val="FWDL3"/>
    <w:rsid w:val="00A4422A"/>
    <w:pPr>
      <w:numPr>
        <w:ilvl w:val="3"/>
      </w:numPr>
      <w:tabs>
        <w:tab w:val="num" w:pos="720"/>
      </w:tabs>
    </w:pPr>
  </w:style>
  <w:style w:type="paragraph" w:customStyle="1" w:styleId="FWDL5">
    <w:name w:val="FWD_L5"/>
    <w:basedOn w:val="FWDL4"/>
    <w:rsid w:val="00A4422A"/>
    <w:pPr>
      <w:numPr>
        <w:ilvl w:val="4"/>
      </w:numPr>
      <w:tabs>
        <w:tab w:val="clear" w:pos="2880"/>
        <w:tab w:val="num" w:pos="360"/>
        <w:tab w:val="num" w:pos="720"/>
        <w:tab w:val="num" w:pos="2160"/>
      </w:tabs>
      <w:ind w:left="720" w:hanging="720"/>
    </w:pPr>
  </w:style>
  <w:style w:type="paragraph" w:customStyle="1" w:styleId="FWDL6">
    <w:name w:val="FWD_L6"/>
    <w:basedOn w:val="FWDL5"/>
    <w:rsid w:val="00A4422A"/>
    <w:pPr>
      <w:numPr>
        <w:ilvl w:val="5"/>
      </w:numPr>
      <w:tabs>
        <w:tab w:val="clear" w:pos="3600"/>
        <w:tab w:val="num" w:pos="360"/>
        <w:tab w:val="num" w:pos="720"/>
        <w:tab w:val="num" w:pos="1440"/>
      </w:tabs>
      <w:ind w:left="1440" w:hanging="216"/>
    </w:pPr>
  </w:style>
  <w:style w:type="paragraph" w:customStyle="1" w:styleId="FWDL7">
    <w:name w:val="FWD_L7"/>
    <w:basedOn w:val="FWDL6"/>
    <w:rsid w:val="00A4422A"/>
    <w:pPr>
      <w:numPr>
        <w:ilvl w:val="6"/>
      </w:numPr>
      <w:tabs>
        <w:tab w:val="clear" w:pos="4320"/>
        <w:tab w:val="num" w:pos="360"/>
        <w:tab w:val="num" w:pos="720"/>
      </w:tabs>
      <w:ind w:left="2160"/>
    </w:pPr>
  </w:style>
  <w:style w:type="paragraph" w:customStyle="1" w:styleId="FWNL1">
    <w:name w:val="FWN_L1"/>
    <w:basedOn w:val="Normal"/>
    <w:rsid w:val="00A4422A"/>
    <w:pPr>
      <w:numPr>
        <w:numId w:val="20"/>
      </w:numPr>
      <w:spacing w:after="240"/>
      <w:jc w:val="both"/>
    </w:pPr>
    <w:rPr>
      <w:rFonts w:eastAsia="Times New Roman"/>
      <w:sz w:val="24"/>
      <w:szCs w:val="20"/>
    </w:rPr>
  </w:style>
  <w:style w:type="paragraph" w:customStyle="1" w:styleId="MacPacTrailer">
    <w:name w:val="MacPac Trailer"/>
    <w:rsid w:val="00A4422A"/>
    <w:pPr>
      <w:widowControl w:val="0"/>
      <w:spacing w:line="170" w:lineRule="exact"/>
    </w:pPr>
    <w:rPr>
      <w:rFonts w:eastAsia="Times New Roman" w:cs="Times New Roman"/>
      <w:sz w:val="14"/>
      <w:lang w:val="en-US"/>
    </w:rPr>
  </w:style>
  <w:style w:type="paragraph" w:customStyle="1" w:styleId="H1Ashurst">
    <w:name w:val="H1Ashurst"/>
    <w:basedOn w:val="Normal"/>
    <w:next w:val="H2Ashurst"/>
    <w:uiPriority w:val="99"/>
    <w:qFormat/>
    <w:rsid w:val="00A4422A"/>
    <w:pPr>
      <w:keepNext/>
      <w:numPr>
        <w:numId w:val="18"/>
      </w:numPr>
      <w:suppressAutoHyphens/>
      <w:spacing w:after="220" w:line="264" w:lineRule="auto"/>
      <w:jc w:val="both"/>
      <w:outlineLvl w:val="0"/>
    </w:pPr>
    <w:rPr>
      <w:rFonts w:ascii="Verdana" w:eastAsia="MS Mincho" w:hAnsi="Verdana"/>
      <w:b/>
      <w:caps/>
      <w:sz w:val="18"/>
      <w:szCs w:val="20"/>
      <w:lang w:eastAsia="es-ES"/>
    </w:rPr>
  </w:style>
  <w:style w:type="paragraph" w:customStyle="1" w:styleId="H2Ashurst">
    <w:name w:val="H2Ashurst"/>
    <w:basedOn w:val="Normal"/>
    <w:uiPriority w:val="99"/>
    <w:qFormat/>
    <w:rsid w:val="00A4422A"/>
    <w:pPr>
      <w:numPr>
        <w:ilvl w:val="1"/>
        <w:numId w:val="18"/>
      </w:numPr>
      <w:suppressAutoHyphens/>
      <w:spacing w:after="220" w:line="264" w:lineRule="auto"/>
      <w:jc w:val="both"/>
      <w:outlineLvl w:val="1"/>
    </w:pPr>
    <w:rPr>
      <w:rFonts w:ascii="Verdana" w:eastAsia="MS Mincho" w:hAnsi="Verdana"/>
      <w:sz w:val="18"/>
      <w:szCs w:val="20"/>
      <w:lang w:eastAsia="es-ES"/>
    </w:rPr>
  </w:style>
  <w:style w:type="paragraph" w:customStyle="1" w:styleId="H3Ashurst">
    <w:name w:val="H3Ashurst"/>
    <w:basedOn w:val="Normal"/>
    <w:link w:val="H3AshurstChar"/>
    <w:uiPriority w:val="99"/>
    <w:qFormat/>
    <w:rsid w:val="00A4422A"/>
    <w:pPr>
      <w:numPr>
        <w:ilvl w:val="2"/>
        <w:numId w:val="18"/>
      </w:numPr>
      <w:suppressAutoHyphens/>
      <w:spacing w:after="220" w:line="264" w:lineRule="auto"/>
      <w:jc w:val="both"/>
      <w:outlineLvl w:val="2"/>
    </w:pPr>
    <w:rPr>
      <w:rFonts w:ascii="Verdana" w:eastAsia="MS Mincho" w:hAnsi="Verdana"/>
      <w:sz w:val="18"/>
      <w:szCs w:val="20"/>
      <w:lang w:eastAsia="es-ES"/>
    </w:rPr>
  </w:style>
  <w:style w:type="paragraph" w:customStyle="1" w:styleId="H4Ashurst">
    <w:name w:val="H4Ashurst"/>
    <w:basedOn w:val="Normal"/>
    <w:uiPriority w:val="99"/>
    <w:qFormat/>
    <w:rsid w:val="00A4422A"/>
    <w:pPr>
      <w:numPr>
        <w:ilvl w:val="3"/>
        <w:numId w:val="18"/>
      </w:numPr>
      <w:suppressAutoHyphens/>
      <w:spacing w:after="220" w:line="264" w:lineRule="auto"/>
      <w:jc w:val="both"/>
      <w:outlineLvl w:val="3"/>
    </w:pPr>
    <w:rPr>
      <w:rFonts w:ascii="Verdana" w:eastAsia="MS Mincho" w:hAnsi="Verdana"/>
      <w:sz w:val="18"/>
      <w:szCs w:val="20"/>
      <w:lang w:eastAsia="es-ES"/>
    </w:rPr>
  </w:style>
  <w:style w:type="paragraph" w:customStyle="1" w:styleId="H5Ashurst">
    <w:name w:val="H5Ashurst"/>
    <w:basedOn w:val="Normal"/>
    <w:uiPriority w:val="99"/>
    <w:qFormat/>
    <w:rsid w:val="00A4422A"/>
    <w:pPr>
      <w:numPr>
        <w:ilvl w:val="4"/>
        <w:numId w:val="18"/>
      </w:numPr>
      <w:suppressAutoHyphens/>
      <w:spacing w:after="220" w:line="264" w:lineRule="auto"/>
      <w:jc w:val="both"/>
      <w:outlineLvl w:val="4"/>
    </w:pPr>
    <w:rPr>
      <w:rFonts w:ascii="Verdana" w:eastAsia="MS Mincho" w:hAnsi="Verdana"/>
      <w:sz w:val="18"/>
      <w:szCs w:val="20"/>
      <w:lang w:eastAsia="es-ES"/>
    </w:rPr>
  </w:style>
  <w:style w:type="paragraph" w:customStyle="1" w:styleId="H6Ashurst">
    <w:name w:val="H6Ashurst"/>
    <w:basedOn w:val="Normal"/>
    <w:rsid w:val="00A4422A"/>
    <w:pPr>
      <w:numPr>
        <w:ilvl w:val="5"/>
        <w:numId w:val="18"/>
      </w:numPr>
      <w:suppressAutoHyphens/>
      <w:spacing w:after="220" w:line="264" w:lineRule="auto"/>
      <w:jc w:val="both"/>
      <w:outlineLvl w:val="5"/>
    </w:pPr>
    <w:rPr>
      <w:rFonts w:ascii="Verdana" w:eastAsia="MS Mincho" w:hAnsi="Verdana"/>
      <w:sz w:val="18"/>
      <w:szCs w:val="20"/>
      <w:lang w:eastAsia="es-ES"/>
    </w:rPr>
  </w:style>
  <w:style w:type="paragraph" w:customStyle="1" w:styleId="AltH1Ashurst">
    <w:name w:val="AltH1Ashurst"/>
    <w:basedOn w:val="Normal"/>
    <w:uiPriority w:val="99"/>
    <w:rsid w:val="00A4422A"/>
    <w:pPr>
      <w:numPr>
        <w:numId w:val="19"/>
      </w:numPr>
      <w:suppressAutoHyphens/>
      <w:spacing w:after="220" w:line="264" w:lineRule="auto"/>
      <w:jc w:val="both"/>
      <w:outlineLvl w:val="0"/>
    </w:pPr>
    <w:rPr>
      <w:rFonts w:ascii="Verdana" w:eastAsia="MS Mincho" w:hAnsi="Verdana"/>
      <w:sz w:val="18"/>
      <w:szCs w:val="20"/>
      <w:lang w:eastAsia="es-ES"/>
    </w:rPr>
  </w:style>
  <w:style w:type="paragraph" w:customStyle="1" w:styleId="AltH2Ashurst">
    <w:name w:val="AltH2Ashurst"/>
    <w:basedOn w:val="Normal"/>
    <w:uiPriority w:val="99"/>
    <w:rsid w:val="00A4422A"/>
    <w:pPr>
      <w:numPr>
        <w:ilvl w:val="1"/>
        <w:numId w:val="19"/>
      </w:numPr>
      <w:suppressAutoHyphens/>
      <w:spacing w:after="220" w:line="264" w:lineRule="auto"/>
      <w:jc w:val="both"/>
      <w:outlineLvl w:val="1"/>
    </w:pPr>
    <w:rPr>
      <w:rFonts w:ascii="Verdana" w:eastAsia="MS Mincho" w:hAnsi="Verdana"/>
      <w:sz w:val="18"/>
      <w:szCs w:val="20"/>
      <w:lang w:eastAsia="es-ES"/>
    </w:rPr>
  </w:style>
  <w:style w:type="paragraph" w:customStyle="1" w:styleId="AltH3Ashurst">
    <w:name w:val="AltH3Ashurst"/>
    <w:basedOn w:val="Normal"/>
    <w:link w:val="AltH3AshurstChar"/>
    <w:uiPriority w:val="99"/>
    <w:rsid w:val="00A4422A"/>
    <w:pPr>
      <w:numPr>
        <w:ilvl w:val="2"/>
        <w:numId w:val="19"/>
      </w:numPr>
      <w:suppressAutoHyphens/>
      <w:spacing w:after="220" w:line="264" w:lineRule="auto"/>
      <w:jc w:val="both"/>
      <w:outlineLvl w:val="2"/>
    </w:pPr>
    <w:rPr>
      <w:rFonts w:ascii="Verdana" w:eastAsia="MS Mincho" w:hAnsi="Verdana"/>
      <w:sz w:val="18"/>
      <w:szCs w:val="20"/>
      <w:lang w:eastAsia="es-ES"/>
    </w:rPr>
  </w:style>
  <w:style w:type="paragraph" w:customStyle="1" w:styleId="AltH4Ashurst">
    <w:name w:val="AltH4Ashurst"/>
    <w:basedOn w:val="Normal"/>
    <w:uiPriority w:val="99"/>
    <w:rsid w:val="00A4422A"/>
    <w:pPr>
      <w:numPr>
        <w:ilvl w:val="3"/>
        <w:numId w:val="19"/>
      </w:numPr>
      <w:suppressAutoHyphens/>
      <w:spacing w:after="220" w:line="264" w:lineRule="auto"/>
      <w:jc w:val="both"/>
      <w:outlineLvl w:val="3"/>
    </w:pPr>
    <w:rPr>
      <w:rFonts w:ascii="Verdana" w:eastAsia="MS Mincho" w:hAnsi="Verdana"/>
      <w:sz w:val="18"/>
      <w:szCs w:val="20"/>
      <w:lang w:eastAsia="es-ES"/>
    </w:rPr>
  </w:style>
  <w:style w:type="paragraph" w:customStyle="1" w:styleId="AltH5Ashurst">
    <w:name w:val="AltH5Ashurst"/>
    <w:basedOn w:val="Normal"/>
    <w:uiPriority w:val="99"/>
    <w:rsid w:val="00A4422A"/>
    <w:pPr>
      <w:numPr>
        <w:ilvl w:val="4"/>
        <w:numId w:val="19"/>
      </w:numPr>
      <w:suppressAutoHyphens/>
      <w:spacing w:after="220" w:line="264" w:lineRule="auto"/>
      <w:jc w:val="both"/>
      <w:outlineLvl w:val="4"/>
    </w:pPr>
    <w:rPr>
      <w:rFonts w:ascii="Verdana" w:eastAsia="MS Mincho" w:hAnsi="Verdana"/>
      <w:sz w:val="18"/>
      <w:szCs w:val="20"/>
      <w:lang w:eastAsia="es-ES"/>
    </w:rPr>
  </w:style>
  <w:style w:type="paragraph" w:customStyle="1" w:styleId="AltH6Ashurst">
    <w:name w:val="AltH6Ashurst"/>
    <w:basedOn w:val="Normal"/>
    <w:uiPriority w:val="99"/>
    <w:rsid w:val="00A4422A"/>
    <w:pPr>
      <w:numPr>
        <w:ilvl w:val="5"/>
        <w:numId w:val="19"/>
      </w:numPr>
      <w:suppressAutoHyphens/>
      <w:spacing w:after="220" w:line="264" w:lineRule="auto"/>
      <w:jc w:val="both"/>
      <w:outlineLvl w:val="5"/>
    </w:pPr>
    <w:rPr>
      <w:rFonts w:ascii="Verdana" w:eastAsia="MS Mincho" w:hAnsi="Verdana"/>
      <w:sz w:val="18"/>
      <w:szCs w:val="20"/>
      <w:lang w:eastAsia="es-ES"/>
    </w:rPr>
  </w:style>
  <w:style w:type="paragraph" w:customStyle="1" w:styleId="AltH7Ashurst">
    <w:name w:val="AltH7Ashurst"/>
    <w:basedOn w:val="Normal"/>
    <w:uiPriority w:val="99"/>
    <w:rsid w:val="00A4422A"/>
    <w:pPr>
      <w:numPr>
        <w:ilvl w:val="6"/>
        <w:numId w:val="19"/>
      </w:numPr>
      <w:suppressAutoHyphens/>
      <w:spacing w:after="220" w:line="264" w:lineRule="auto"/>
      <w:jc w:val="both"/>
      <w:outlineLvl w:val="6"/>
    </w:pPr>
    <w:rPr>
      <w:rFonts w:ascii="Verdana" w:eastAsia="MS Mincho" w:hAnsi="Verdana"/>
      <w:sz w:val="18"/>
      <w:szCs w:val="20"/>
      <w:lang w:eastAsia="es-ES"/>
    </w:rPr>
  </w:style>
  <w:style w:type="paragraph" w:customStyle="1" w:styleId="AltH8Ashurst">
    <w:name w:val="AltH8Ashurst"/>
    <w:basedOn w:val="Normal"/>
    <w:uiPriority w:val="99"/>
    <w:rsid w:val="00A4422A"/>
    <w:pPr>
      <w:numPr>
        <w:ilvl w:val="7"/>
        <w:numId w:val="19"/>
      </w:numPr>
      <w:suppressAutoHyphens/>
      <w:spacing w:after="220" w:line="264" w:lineRule="auto"/>
      <w:jc w:val="both"/>
      <w:outlineLvl w:val="7"/>
    </w:pPr>
    <w:rPr>
      <w:rFonts w:ascii="Verdana" w:eastAsia="MS Mincho" w:hAnsi="Verdana"/>
      <w:sz w:val="18"/>
      <w:szCs w:val="20"/>
      <w:lang w:eastAsia="es-ES"/>
    </w:rPr>
  </w:style>
  <w:style w:type="paragraph" w:customStyle="1" w:styleId="H7Ashurst">
    <w:name w:val="H7Ashurst"/>
    <w:basedOn w:val="Normal"/>
    <w:rsid w:val="00A4422A"/>
    <w:pPr>
      <w:numPr>
        <w:ilvl w:val="6"/>
        <w:numId w:val="18"/>
      </w:numPr>
      <w:suppressAutoHyphens/>
      <w:spacing w:after="220" w:line="264" w:lineRule="auto"/>
      <w:jc w:val="both"/>
      <w:outlineLvl w:val="6"/>
    </w:pPr>
    <w:rPr>
      <w:rFonts w:ascii="Verdana" w:eastAsia="MS Mincho" w:hAnsi="Verdana"/>
      <w:sz w:val="18"/>
      <w:szCs w:val="20"/>
      <w:lang w:eastAsia="es-ES"/>
    </w:rPr>
  </w:style>
  <w:style w:type="paragraph" w:customStyle="1" w:styleId="H8Ashurst">
    <w:name w:val="H8Ashurst"/>
    <w:basedOn w:val="Normal"/>
    <w:rsid w:val="00A4422A"/>
    <w:pPr>
      <w:numPr>
        <w:ilvl w:val="7"/>
        <w:numId w:val="18"/>
      </w:numPr>
      <w:suppressAutoHyphens/>
      <w:spacing w:after="220" w:line="264" w:lineRule="auto"/>
      <w:jc w:val="both"/>
      <w:outlineLvl w:val="7"/>
    </w:pPr>
    <w:rPr>
      <w:rFonts w:ascii="Verdana" w:eastAsia="MS Mincho" w:hAnsi="Verdana"/>
      <w:sz w:val="18"/>
      <w:szCs w:val="20"/>
      <w:lang w:eastAsia="es-ES"/>
    </w:rPr>
  </w:style>
  <w:style w:type="paragraph" w:customStyle="1" w:styleId="Firm3L1">
    <w:name w:val="Firm3_L1"/>
    <w:basedOn w:val="Normal"/>
    <w:next w:val="Firm3L2"/>
    <w:link w:val="Firm3L1Char"/>
    <w:rsid w:val="00A4422A"/>
    <w:pPr>
      <w:keepNext/>
      <w:numPr>
        <w:numId w:val="22"/>
      </w:numPr>
      <w:spacing w:before="240" w:after="180" w:line="280" w:lineRule="atLeast"/>
      <w:jc w:val="both"/>
      <w:outlineLvl w:val="0"/>
    </w:pPr>
    <w:rPr>
      <w:rFonts w:eastAsia="SimSun"/>
      <w:b/>
      <w:sz w:val="24"/>
      <w:szCs w:val="20"/>
      <w:lang w:val="es-ES"/>
    </w:rPr>
  </w:style>
  <w:style w:type="character" w:customStyle="1" w:styleId="Firm3L1Char">
    <w:name w:val="Firm3_L1 Char"/>
    <w:link w:val="Firm3L1"/>
    <w:rsid w:val="00A4422A"/>
    <w:rPr>
      <w:rFonts w:eastAsia="SimSun" w:cs="Times New Roman"/>
      <w:b/>
      <w:sz w:val="24"/>
      <w:szCs w:val="20"/>
      <w:lang w:val="es-ES"/>
    </w:rPr>
  </w:style>
  <w:style w:type="paragraph" w:customStyle="1" w:styleId="Firm3L2">
    <w:name w:val="Firm3_L2"/>
    <w:basedOn w:val="Firm3L1"/>
    <w:link w:val="Firm3L2Char"/>
    <w:rsid w:val="00A4422A"/>
    <w:pPr>
      <w:keepNext w:val="0"/>
      <w:numPr>
        <w:ilvl w:val="1"/>
      </w:numPr>
      <w:spacing w:before="0"/>
      <w:outlineLvl w:val="1"/>
    </w:pPr>
    <w:rPr>
      <w:b w:val="0"/>
    </w:rPr>
  </w:style>
  <w:style w:type="character" w:customStyle="1" w:styleId="Firm3L2Char">
    <w:name w:val="Firm3_L2 Char"/>
    <w:link w:val="Firm3L2"/>
    <w:rsid w:val="00A4422A"/>
    <w:rPr>
      <w:rFonts w:eastAsia="SimSun" w:cs="Times New Roman"/>
      <w:sz w:val="24"/>
      <w:szCs w:val="20"/>
      <w:lang w:val="es-ES"/>
    </w:rPr>
  </w:style>
  <w:style w:type="paragraph" w:customStyle="1" w:styleId="Firm3L3">
    <w:name w:val="Firm3_L3"/>
    <w:basedOn w:val="Firm3L2"/>
    <w:link w:val="Firm3L3Char"/>
    <w:rsid w:val="00A4422A"/>
    <w:pPr>
      <w:numPr>
        <w:ilvl w:val="2"/>
      </w:numPr>
      <w:outlineLvl w:val="2"/>
    </w:pPr>
  </w:style>
  <w:style w:type="character" w:customStyle="1" w:styleId="Firm3L3Char">
    <w:name w:val="Firm3_L3 Char"/>
    <w:link w:val="Firm3L3"/>
    <w:rsid w:val="00A4422A"/>
    <w:rPr>
      <w:rFonts w:eastAsia="SimSun" w:cs="Times New Roman"/>
      <w:sz w:val="24"/>
      <w:szCs w:val="20"/>
      <w:lang w:val="es-ES"/>
    </w:rPr>
  </w:style>
  <w:style w:type="paragraph" w:customStyle="1" w:styleId="Firm3L4">
    <w:name w:val="Firm3_L4"/>
    <w:basedOn w:val="Firm3L3"/>
    <w:rsid w:val="00A4422A"/>
    <w:pPr>
      <w:numPr>
        <w:ilvl w:val="3"/>
      </w:numPr>
      <w:tabs>
        <w:tab w:val="clear" w:pos="2160"/>
        <w:tab w:val="num" w:pos="360"/>
        <w:tab w:val="num" w:pos="1440"/>
      </w:tabs>
      <w:ind w:left="1440" w:hanging="216"/>
      <w:outlineLvl w:val="3"/>
    </w:pPr>
  </w:style>
  <w:style w:type="paragraph" w:customStyle="1" w:styleId="Firm3L5">
    <w:name w:val="Firm3_L5"/>
    <w:basedOn w:val="Firm3L4"/>
    <w:rsid w:val="00A4422A"/>
    <w:pPr>
      <w:numPr>
        <w:ilvl w:val="4"/>
      </w:numPr>
      <w:tabs>
        <w:tab w:val="clear" w:pos="2880"/>
        <w:tab w:val="num" w:pos="360"/>
        <w:tab w:val="num" w:pos="1440"/>
        <w:tab w:val="num" w:pos="2160"/>
      </w:tabs>
      <w:ind w:left="1440"/>
      <w:outlineLvl w:val="4"/>
    </w:pPr>
  </w:style>
  <w:style w:type="paragraph" w:customStyle="1" w:styleId="Firm3L6">
    <w:name w:val="Firm3_L6"/>
    <w:basedOn w:val="Firm3L5"/>
    <w:rsid w:val="00A4422A"/>
    <w:pPr>
      <w:numPr>
        <w:ilvl w:val="5"/>
      </w:numPr>
      <w:tabs>
        <w:tab w:val="clear" w:pos="3600"/>
        <w:tab w:val="num" w:pos="360"/>
        <w:tab w:val="num" w:pos="1440"/>
        <w:tab w:val="num" w:pos="2880"/>
      </w:tabs>
      <w:ind w:left="1440" w:hanging="216"/>
      <w:outlineLvl w:val="5"/>
    </w:pPr>
  </w:style>
  <w:style w:type="paragraph" w:customStyle="1" w:styleId="Firm3L7">
    <w:name w:val="Firm3_L7"/>
    <w:basedOn w:val="Firm3L6"/>
    <w:rsid w:val="00A4422A"/>
    <w:pPr>
      <w:numPr>
        <w:ilvl w:val="6"/>
      </w:numPr>
      <w:tabs>
        <w:tab w:val="clear" w:pos="4320"/>
        <w:tab w:val="num" w:pos="360"/>
        <w:tab w:val="num" w:pos="1440"/>
        <w:tab w:val="num" w:pos="3600"/>
      </w:tabs>
      <w:ind w:left="1440"/>
      <w:outlineLvl w:val="6"/>
    </w:pPr>
  </w:style>
  <w:style w:type="paragraph" w:customStyle="1" w:styleId="Firm3L8">
    <w:name w:val="Firm3_L8"/>
    <w:basedOn w:val="Firm3L7"/>
    <w:rsid w:val="00A4422A"/>
    <w:pPr>
      <w:numPr>
        <w:ilvl w:val="7"/>
      </w:numPr>
      <w:tabs>
        <w:tab w:val="clear" w:pos="720"/>
        <w:tab w:val="num" w:pos="360"/>
        <w:tab w:val="num" w:pos="4320"/>
      </w:tabs>
      <w:ind w:left="1440"/>
      <w:outlineLvl w:val="7"/>
    </w:pPr>
  </w:style>
  <w:style w:type="paragraph" w:customStyle="1" w:styleId="Firm3L9">
    <w:name w:val="Firm3_L9"/>
    <w:basedOn w:val="Firm3L8"/>
    <w:rsid w:val="00A4422A"/>
    <w:pPr>
      <w:numPr>
        <w:ilvl w:val="8"/>
      </w:numPr>
      <w:tabs>
        <w:tab w:val="clear" w:pos="1440"/>
        <w:tab w:val="num" w:pos="360"/>
        <w:tab w:val="num" w:pos="5760"/>
      </w:tabs>
      <w:ind w:left="5760"/>
      <w:outlineLvl w:val="8"/>
    </w:pPr>
  </w:style>
  <w:style w:type="paragraph" w:customStyle="1" w:styleId="NormalAshurst">
    <w:name w:val="NormalAshurst"/>
    <w:link w:val="NormalAshurstChar"/>
    <w:uiPriority w:val="99"/>
    <w:qFormat/>
    <w:rsid w:val="00A4422A"/>
    <w:pPr>
      <w:suppressAutoHyphens/>
      <w:spacing w:after="220" w:line="264" w:lineRule="auto"/>
      <w:jc w:val="both"/>
    </w:pPr>
    <w:rPr>
      <w:rFonts w:asciiTheme="minorHAnsi" w:eastAsiaTheme="minorEastAsia" w:hAnsiTheme="minorHAnsi" w:cs="Times New Roman"/>
      <w:sz w:val="18"/>
      <w:szCs w:val="20"/>
      <w:lang w:eastAsia="zh-TW"/>
    </w:rPr>
  </w:style>
  <w:style w:type="character" w:customStyle="1" w:styleId="NormalAshurstChar">
    <w:name w:val="NormalAshurst Char"/>
    <w:basedOn w:val="DefaultParagraphFont"/>
    <w:link w:val="NormalAshurst"/>
    <w:uiPriority w:val="99"/>
    <w:rsid w:val="00A4422A"/>
    <w:rPr>
      <w:rFonts w:asciiTheme="minorHAnsi" w:eastAsiaTheme="minorEastAsia" w:hAnsiTheme="minorHAnsi" w:cs="Times New Roman"/>
      <w:sz w:val="18"/>
      <w:szCs w:val="20"/>
      <w:lang w:eastAsia="zh-TW"/>
    </w:rPr>
  </w:style>
  <w:style w:type="character" w:customStyle="1" w:styleId="H3AshurstChar">
    <w:name w:val="H3Ashurst Char"/>
    <w:basedOn w:val="NormalAshurstChar"/>
    <w:link w:val="H3Ashurst"/>
    <w:uiPriority w:val="99"/>
    <w:rsid w:val="00A4422A"/>
    <w:rPr>
      <w:rFonts w:ascii="Verdana" w:eastAsia="MS Mincho" w:hAnsi="Verdana" w:cs="Times New Roman"/>
      <w:sz w:val="18"/>
      <w:szCs w:val="20"/>
      <w:lang w:eastAsia="es-ES"/>
    </w:rPr>
  </w:style>
  <w:style w:type="character" w:customStyle="1" w:styleId="AltH3AshurstChar">
    <w:name w:val="AltH3Ashurst Char"/>
    <w:basedOn w:val="NormalAshurstChar"/>
    <w:link w:val="AltH3Ashurst"/>
    <w:uiPriority w:val="99"/>
    <w:rsid w:val="00A4422A"/>
    <w:rPr>
      <w:rFonts w:ascii="Verdana" w:eastAsia="MS Mincho" w:hAnsi="Verdana" w:cs="Times New Roman"/>
      <w:sz w:val="18"/>
      <w:szCs w:val="20"/>
      <w:lang w:eastAsia="es-ES"/>
    </w:rPr>
  </w:style>
  <w:style w:type="character" w:customStyle="1" w:styleId="FWBL2Char">
    <w:name w:val="FWB_L2 Char"/>
    <w:link w:val="FWBL2"/>
    <w:rsid w:val="00A4422A"/>
    <w:rPr>
      <w:rFonts w:eastAsia="Times New Roman" w:cs="Times New Roman"/>
      <w:sz w:val="24"/>
      <w:szCs w:val="20"/>
      <w:lang w:val="es-ES"/>
    </w:rPr>
  </w:style>
  <w:style w:type="character" w:customStyle="1" w:styleId="FWBL3Char">
    <w:name w:val="FWB_L3 Char"/>
    <w:link w:val="FWBL3"/>
    <w:rsid w:val="00A4422A"/>
    <w:rPr>
      <w:rFonts w:eastAsia="Times New Roman" w:cs="Times New Roman"/>
      <w:sz w:val="24"/>
      <w:szCs w:val="20"/>
      <w:lang w:val="es-ES"/>
    </w:rPr>
  </w:style>
  <w:style w:type="paragraph" w:customStyle="1" w:styleId="Column2L1">
    <w:name w:val="Column2_L1"/>
    <w:basedOn w:val="Normal"/>
    <w:next w:val="Column2L2"/>
    <w:link w:val="Column2L1Char"/>
    <w:rsid w:val="00A4422A"/>
    <w:pPr>
      <w:keepNext/>
      <w:numPr>
        <w:numId w:val="21"/>
      </w:numPr>
      <w:spacing w:before="240" w:after="180" w:line="280" w:lineRule="atLeast"/>
      <w:jc w:val="both"/>
      <w:outlineLvl w:val="0"/>
    </w:pPr>
    <w:rPr>
      <w:rFonts w:eastAsia="SimSun"/>
      <w:b/>
      <w:sz w:val="24"/>
      <w:szCs w:val="20"/>
      <w:lang w:val="es-ES"/>
    </w:rPr>
  </w:style>
  <w:style w:type="character" w:customStyle="1" w:styleId="Column2L1Char">
    <w:name w:val="Column2_L1 Char"/>
    <w:link w:val="Column2L1"/>
    <w:rsid w:val="00A4422A"/>
    <w:rPr>
      <w:rFonts w:eastAsia="SimSun" w:cs="Times New Roman"/>
      <w:b/>
      <w:sz w:val="24"/>
      <w:szCs w:val="20"/>
      <w:lang w:val="es-ES"/>
    </w:rPr>
  </w:style>
  <w:style w:type="paragraph" w:customStyle="1" w:styleId="Column2L2">
    <w:name w:val="Column2_L2"/>
    <w:basedOn w:val="Column2L1"/>
    <w:link w:val="Column2L2Char"/>
    <w:rsid w:val="00A4422A"/>
    <w:pPr>
      <w:keepNext w:val="0"/>
      <w:numPr>
        <w:ilvl w:val="1"/>
      </w:numPr>
      <w:spacing w:before="0"/>
      <w:outlineLvl w:val="1"/>
    </w:pPr>
    <w:rPr>
      <w:b w:val="0"/>
    </w:rPr>
  </w:style>
  <w:style w:type="character" w:customStyle="1" w:styleId="Column2L2Char">
    <w:name w:val="Column2_L2 Char"/>
    <w:link w:val="Column2L2"/>
    <w:rsid w:val="00A4422A"/>
    <w:rPr>
      <w:rFonts w:eastAsia="SimSun" w:cs="Times New Roman"/>
      <w:sz w:val="24"/>
      <w:szCs w:val="20"/>
      <w:lang w:val="es-ES"/>
    </w:rPr>
  </w:style>
  <w:style w:type="paragraph" w:customStyle="1" w:styleId="Column2L3">
    <w:name w:val="Column2_L3"/>
    <w:basedOn w:val="Column2L2"/>
    <w:link w:val="Column2L3Char"/>
    <w:rsid w:val="00A4422A"/>
    <w:pPr>
      <w:numPr>
        <w:ilvl w:val="2"/>
      </w:numPr>
      <w:outlineLvl w:val="2"/>
    </w:pPr>
  </w:style>
  <w:style w:type="character" w:customStyle="1" w:styleId="Column2L3Char">
    <w:name w:val="Column2_L3 Char"/>
    <w:link w:val="Column2L3"/>
    <w:rsid w:val="00A4422A"/>
    <w:rPr>
      <w:rFonts w:eastAsia="SimSun" w:cs="Times New Roman"/>
      <w:sz w:val="24"/>
      <w:szCs w:val="20"/>
      <w:lang w:val="es-ES"/>
    </w:rPr>
  </w:style>
  <w:style w:type="paragraph" w:customStyle="1" w:styleId="Column2L4">
    <w:name w:val="Column2_L4"/>
    <w:basedOn w:val="Column2L3"/>
    <w:rsid w:val="00A4422A"/>
    <w:pPr>
      <w:numPr>
        <w:ilvl w:val="3"/>
      </w:numPr>
      <w:tabs>
        <w:tab w:val="clear" w:pos="2160"/>
        <w:tab w:val="num" w:pos="360"/>
        <w:tab w:val="num" w:pos="2030"/>
      </w:tabs>
      <w:ind w:left="360" w:hanging="360"/>
      <w:outlineLvl w:val="3"/>
    </w:pPr>
  </w:style>
  <w:style w:type="paragraph" w:customStyle="1" w:styleId="Column2L5">
    <w:name w:val="Column2_L5"/>
    <w:basedOn w:val="Column2L4"/>
    <w:rsid w:val="00A4422A"/>
    <w:pPr>
      <w:numPr>
        <w:ilvl w:val="4"/>
      </w:numPr>
      <w:tabs>
        <w:tab w:val="clear" w:pos="2880"/>
        <w:tab w:val="num" w:pos="360"/>
        <w:tab w:val="num" w:pos="2030"/>
        <w:tab w:val="num" w:pos="2653"/>
      </w:tabs>
      <w:ind w:left="360" w:hanging="360"/>
      <w:outlineLvl w:val="4"/>
    </w:pPr>
  </w:style>
  <w:style w:type="paragraph" w:customStyle="1" w:styleId="Column2L6">
    <w:name w:val="Column2_L6"/>
    <w:basedOn w:val="Column2L5"/>
    <w:rsid w:val="00A4422A"/>
    <w:pPr>
      <w:numPr>
        <w:ilvl w:val="5"/>
      </w:numPr>
      <w:tabs>
        <w:tab w:val="clear" w:pos="3600"/>
        <w:tab w:val="num" w:pos="360"/>
        <w:tab w:val="num" w:pos="2030"/>
        <w:tab w:val="num" w:pos="3277"/>
      </w:tabs>
      <w:ind w:left="360" w:hanging="360"/>
      <w:outlineLvl w:val="5"/>
    </w:pPr>
  </w:style>
  <w:style w:type="paragraph" w:customStyle="1" w:styleId="Column2L7">
    <w:name w:val="Column2_L7"/>
    <w:basedOn w:val="Column2L6"/>
    <w:rsid w:val="00A4422A"/>
    <w:pPr>
      <w:numPr>
        <w:ilvl w:val="6"/>
      </w:numPr>
      <w:tabs>
        <w:tab w:val="clear" w:pos="4320"/>
        <w:tab w:val="num" w:pos="360"/>
        <w:tab w:val="num" w:pos="2030"/>
        <w:tab w:val="num" w:pos="3901"/>
      </w:tabs>
      <w:ind w:left="360" w:hanging="360"/>
      <w:outlineLvl w:val="6"/>
    </w:pPr>
  </w:style>
  <w:style w:type="paragraph" w:customStyle="1" w:styleId="Column2L8">
    <w:name w:val="Column2_L8"/>
    <w:basedOn w:val="Column2L7"/>
    <w:rsid w:val="00A4422A"/>
    <w:pPr>
      <w:numPr>
        <w:ilvl w:val="7"/>
      </w:numPr>
      <w:tabs>
        <w:tab w:val="clear" w:pos="720"/>
        <w:tab w:val="num" w:pos="360"/>
        <w:tab w:val="num" w:pos="4525"/>
      </w:tabs>
      <w:ind w:left="360" w:hanging="360"/>
      <w:outlineLvl w:val="7"/>
    </w:pPr>
  </w:style>
  <w:style w:type="paragraph" w:customStyle="1" w:styleId="Column2L9">
    <w:name w:val="Column2_L9"/>
    <w:basedOn w:val="Column2L8"/>
    <w:rsid w:val="00A4422A"/>
    <w:pPr>
      <w:numPr>
        <w:ilvl w:val="8"/>
      </w:numPr>
      <w:tabs>
        <w:tab w:val="clear" w:pos="1440"/>
        <w:tab w:val="num" w:pos="0"/>
        <w:tab w:val="num" w:pos="360"/>
      </w:tabs>
      <w:ind w:left="360" w:hanging="360"/>
      <w:outlineLvl w:val="8"/>
    </w:pPr>
  </w:style>
  <w:style w:type="paragraph" w:customStyle="1" w:styleId="AOText">
    <w:name w:val="AOText"/>
    <w:basedOn w:val="BodyText"/>
    <w:rsid w:val="00A4422A"/>
    <w:pPr>
      <w:spacing w:after="120"/>
    </w:pPr>
    <w:rPr>
      <w:rFonts w:ascii="Times New Roman" w:hAnsi="Times New Roman"/>
      <w:sz w:val="22"/>
      <w:szCs w:val="22"/>
    </w:rPr>
  </w:style>
  <w:style w:type="paragraph" w:customStyle="1" w:styleId="AOTect">
    <w:name w:val="AOTect"/>
    <w:basedOn w:val="BodyText"/>
    <w:rsid w:val="00A4422A"/>
    <w:rPr>
      <w:rFonts w:ascii="Times New Roman" w:eastAsiaTheme="minorHAnsi" w:hAnsi="Times New Roman"/>
      <w:sz w:val="22"/>
      <w:szCs w:val="22"/>
      <w:lang w:val="en-GB" w:eastAsia="en-US"/>
    </w:rPr>
  </w:style>
  <w:style w:type="paragraph" w:customStyle="1" w:styleId="AOdocText">
    <w:name w:val="AOdocText"/>
    <w:basedOn w:val="AOText"/>
    <w:rsid w:val="00A4422A"/>
    <w:rPr>
      <w:b/>
    </w:rPr>
  </w:style>
  <w:style w:type="paragraph" w:customStyle="1" w:styleId="Heading10">
    <w:name w:val="Heading1"/>
    <w:basedOn w:val="AODocTxt"/>
    <w:rsid w:val="00A4422A"/>
    <w:pPr>
      <w:jc w:val="center"/>
    </w:pPr>
    <w:rPr>
      <w:lang w:val="es-ES"/>
    </w:rPr>
  </w:style>
  <w:style w:type="paragraph" w:customStyle="1" w:styleId="Heading1-Language2">
    <w:name w:val="Heading 1 - Language 2"/>
    <w:basedOn w:val="Normal"/>
    <w:next w:val="Normal"/>
    <w:qFormat/>
    <w:rsid w:val="00A4422A"/>
    <w:pPr>
      <w:keepNext/>
      <w:numPr>
        <w:numId w:val="24"/>
      </w:numPr>
      <w:spacing w:after="180" w:line="260" w:lineRule="atLeast"/>
    </w:pPr>
    <w:rPr>
      <w:rFonts w:eastAsia="MS Mincho" w:cs="Arial"/>
      <w:b/>
      <w:szCs w:val="28"/>
      <w:lang w:eastAsia="zh-CN"/>
    </w:rPr>
  </w:style>
  <w:style w:type="paragraph" w:customStyle="1" w:styleId="Heading2-Language2">
    <w:name w:val="Heading 2 - Language 2"/>
    <w:basedOn w:val="Normal"/>
    <w:next w:val="Normal"/>
    <w:qFormat/>
    <w:rsid w:val="00A4422A"/>
    <w:pPr>
      <w:keepNext/>
      <w:numPr>
        <w:ilvl w:val="1"/>
        <w:numId w:val="24"/>
      </w:numPr>
      <w:spacing w:after="180" w:line="260" w:lineRule="atLeast"/>
    </w:pPr>
    <w:rPr>
      <w:rFonts w:eastAsia="MS Mincho" w:cs="Arial"/>
      <w:b/>
      <w:szCs w:val="28"/>
      <w:lang w:eastAsia="zh-CN"/>
    </w:rPr>
  </w:style>
  <w:style w:type="paragraph" w:customStyle="1" w:styleId="Heading3-Language2">
    <w:name w:val="Heading 3 - Language 2"/>
    <w:basedOn w:val="Normal"/>
    <w:next w:val="BodyTextIndent"/>
    <w:qFormat/>
    <w:rsid w:val="00A4422A"/>
    <w:pPr>
      <w:keepNext/>
      <w:numPr>
        <w:ilvl w:val="2"/>
        <w:numId w:val="24"/>
      </w:numPr>
      <w:spacing w:after="180" w:line="260" w:lineRule="atLeast"/>
    </w:pPr>
    <w:rPr>
      <w:rFonts w:eastAsia="MS Mincho"/>
      <w:b/>
      <w:szCs w:val="28"/>
      <w:lang w:eastAsia="zh-CN"/>
    </w:rPr>
  </w:style>
  <w:style w:type="paragraph" w:customStyle="1" w:styleId="Heading4-Language2">
    <w:name w:val="Heading 4 - Language 2"/>
    <w:basedOn w:val="Normal"/>
    <w:qFormat/>
    <w:rsid w:val="00A4422A"/>
    <w:pPr>
      <w:numPr>
        <w:ilvl w:val="3"/>
        <w:numId w:val="24"/>
      </w:numPr>
      <w:spacing w:after="180" w:line="260" w:lineRule="atLeast"/>
    </w:pPr>
    <w:rPr>
      <w:rFonts w:eastAsia="MS Mincho"/>
      <w:szCs w:val="28"/>
      <w:lang w:eastAsia="zh-CN"/>
    </w:rPr>
  </w:style>
  <w:style w:type="paragraph" w:customStyle="1" w:styleId="Heading5-Language2">
    <w:name w:val="Heading 5 - Language 2"/>
    <w:basedOn w:val="Normal"/>
    <w:qFormat/>
    <w:rsid w:val="00A4422A"/>
    <w:pPr>
      <w:numPr>
        <w:ilvl w:val="4"/>
        <w:numId w:val="24"/>
      </w:numPr>
      <w:spacing w:after="180" w:line="260" w:lineRule="atLeast"/>
    </w:pPr>
    <w:rPr>
      <w:rFonts w:eastAsia="MS Mincho"/>
      <w:szCs w:val="28"/>
      <w:lang w:eastAsia="zh-CN"/>
    </w:rPr>
  </w:style>
  <w:style w:type="paragraph" w:customStyle="1" w:styleId="Heading6-Language2">
    <w:name w:val="Heading 6 - Language 2"/>
    <w:basedOn w:val="Normal"/>
    <w:qFormat/>
    <w:rsid w:val="00A4422A"/>
    <w:pPr>
      <w:numPr>
        <w:ilvl w:val="5"/>
        <w:numId w:val="24"/>
      </w:numPr>
      <w:spacing w:after="180" w:line="260" w:lineRule="atLeast"/>
    </w:pPr>
    <w:rPr>
      <w:rFonts w:eastAsia="MS Mincho"/>
      <w:szCs w:val="28"/>
      <w:lang w:eastAsia="zh-CN"/>
    </w:rPr>
  </w:style>
  <w:style w:type="numbering" w:customStyle="1" w:styleId="BMHeadings-Language2">
    <w:name w:val="B&amp;M Headings - Language 2"/>
    <w:uiPriority w:val="99"/>
    <w:rsid w:val="00A4422A"/>
    <w:pPr>
      <w:numPr>
        <w:numId w:val="23"/>
      </w:numPr>
    </w:pPr>
  </w:style>
  <w:style w:type="paragraph" w:customStyle="1" w:styleId="Heading7-Language2">
    <w:name w:val="Heading 7 - Language 2"/>
    <w:basedOn w:val="Normal"/>
    <w:qFormat/>
    <w:rsid w:val="00A4422A"/>
    <w:pPr>
      <w:numPr>
        <w:ilvl w:val="6"/>
        <w:numId w:val="24"/>
      </w:numPr>
      <w:spacing w:after="180" w:line="260" w:lineRule="atLeast"/>
    </w:pPr>
    <w:rPr>
      <w:rFonts w:eastAsia="MS Mincho"/>
      <w:szCs w:val="28"/>
      <w:lang w:eastAsia="zh-CN"/>
    </w:rPr>
  </w:style>
  <w:style w:type="paragraph" w:styleId="BodyTextIndent">
    <w:name w:val="Body Text Indent"/>
    <w:basedOn w:val="Normal"/>
    <w:link w:val="BodyTextIndentChar"/>
    <w:uiPriority w:val="99"/>
    <w:semiHidden/>
    <w:unhideWhenUsed/>
    <w:rsid w:val="00A4422A"/>
    <w:pPr>
      <w:spacing w:after="120"/>
      <w:ind w:left="283"/>
    </w:pPr>
  </w:style>
  <w:style w:type="character" w:customStyle="1" w:styleId="BodyTextIndentChar">
    <w:name w:val="Body Text Indent Char"/>
    <w:basedOn w:val="DefaultParagraphFont"/>
    <w:link w:val="BodyTextIndent"/>
    <w:uiPriority w:val="99"/>
    <w:semiHidden/>
    <w:rsid w:val="00A4422A"/>
    <w:rPr>
      <w:rFonts w:cs="Times New Roman"/>
    </w:rPr>
  </w:style>
  <w:style w:type="paragraph" w:styleId="ListParagraph">
    <w:name w:val="List Paragraph"/>
    <w:basedOn w:val="Normal"/>
    <w:uiPriority w:val="34"/>
    <w:qFormat/>
    <w:rsid w:val="00A4422A"/>
    <w:pPr>
      <w:ind w:left="720"/>
      <w:contextualSpacing/>
    </w:pPr>
  </w:style>
  <w:style w:type="character" w:styleId="FootnoteReference">
    <w:name w:val="footnote reference"/>
    <w:uiPriority w:val="99"/>
    <w:rsid w:val="00A4422A"/>
    <w:rPr>
      <w:rFonts w:ascii="Times New Roman" w:hAnsi="Times New Roman"/>
      <w:sz w:val="16"/>
      <w:vertAlign w:val="superscript"/>
    </w:rPr>
  </w:style>
  <w:style w:type="character" w:styleId="CommentReference">
    <w:name w:val="annotation reference"/>
    <w:basedOn w:val="DefaultParagraphFont"/>
    <w:uiPriority w:val="99"/>
    <w:semiHidden/>
    <w:unhideWhenUsed/>
    <w:rsid w:val="00A4422A"/>
    <w:rPr>
      <w:sz w:val="16"/>
      <w:szCs w:val="16"/>
    </w:rPr>
  </w:style>
  <w:style w:type="paragraph" w:styleId="CommentSubject">
    <w:name w:val="annotation subject"/>
    <w:basedOn w:val="CommentText"/>
    <w:next w:val="CommentText"/>
    <w:link w:val="CommentSubjectChar"/>
    <w:uiPriority w:val="99"/>
    <w:semiHidden/>
    <w:unhideWhenUsed/>
    <w:rsid w:val="00A4422A"/>
    <w:rPr>
      <w:b/>
      <w:bCs/>
      <w:sz w:val="20"/>
    </w:rPr>
  </w:style>
  <w:style w:type="character" w:customStyle="1" w:styleId="CommentSubjectChar">
    <w:name w:val="Comment Subject Char"/>
    <w:basedOn w:val="CommentTextChar"/>
    <w:link w:val="CommentSubject"/>
    <w:uiPriority w:val="99"/>
    <w:semiHidden/>
    <w:rsid w:val="00A4422A"/>
    <w:rPr>
      <w:rFonts w:cs="Times New Roman"/>
      <w:b/>
      <w:bCs/>
      <w:sz w:val="20"/>
      <w:szCs w:val="20"/>
      <w:lang w:val="en-GB"/>
    </w:rPr>
  </w:style>
  <w:style w:type="character" w:customStyle="1" w:styleId="AODocTxtChar">
    <w:name w:val="AODocTxt Char"/>
    <w:link w:val="AODocTxt"/>
    <w:rsid w:val="00A4422A"/>
    <w:rPr>
      <w:rFonts w:cs="Times New Roman"/>
    </w:rPr>
  </w:style>
  <w:style w:type="character" w:customStyle="1" w:styleId="AODocTxtL1Char">
    <w:name w:val="AODocTxtL1 Char"/>
    <w:link w:val="AODocTxtL1"/>
    <w:uiPriority w:val="49"/>
    <w:locked/>
    <w:rsid w:val="00A4422A"/>
    <w:rPr>
      <w:rFonts w:cs="Times New Roman"/>
    </w:rPr>
  </w:style>
  <w:style w:type="character" w:customStyle="1" w:styleId="AOHead2Char">
    <w:name w:val="AOHead2 Char"/>
    <w:link w:val="AOHead2"/>
    <w:uiPriority w:val="4"/>
    <w:rsid w:val="00A4422A"/>
    <w:rPr>
      <w:rFonts w:cs="Times New Roman"/>
      <w:b/>
    </w:rPr>
  </w:style>
  <w:style w:type="character" w:customStyle="1" w:styleId="AOAltHead2Char">
    <w:name w:val="AOAltHead2 Char"/>
    <w:link w:val="AOAltHead2"/>
    <w:uiPriority w:val="9"/>
    <w:locked/>
    <w:rsid w:val="00A4422A"/>
    <w:rPr>
      <w:rFonts w:cs="Times New Roman"/>
    </w:rPr>
  </w:style>
  <w:style w:type="paragraph" w:styleId="Revision">
    <w:name w:val="Revision"/>
    <w:hidden/>
    <w:uiPriority w:val="99"/>
    <w:semiHidden/>
    <w:rsid w:val="00A4422A"/>
    <w:pPr>
      <w:spacing w:line="240" w:lineRule="auto"/>
    </w:pPr>
    <w:rPr>
      <w:rFonts w:cs="Times New Roman"/>
    </w:rPr>
  </w:style>
  <w:style w:type="character" w:customStyle="1" w:styleId="zzmpTrailerItem">
    <w:name w:val="zzmpTrailerItem"/>
    <w:basedOn w:val="DefaultParagraphFont"/>
    <w:rsid w:val="00A4422A"/>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ONormalChar">
    <w:name w:val="AONormal Char"/>
    <w:link w:val="AONormal"/>
    <w:rsid w:val="00A4422A"/>
    <w:rPr>
      <w:rFonts w:cs="Times New Roman"/>
    </w:rPr>
  </w:style>
  <w:style w:type="character" w:customStyle="1" w:styleId="AOAChar">
    <w:name w:val="AO(A) Char"/>
    <w:link w:val="AOA"/>
    <w:rsid w:val="00A4422A"/>
    <w:rPr>
      <w:rFonts w:cs="Times New Roman"/>
    </w:rPr>
  </w:style>
  <w:style w:type="character" w:customStyle="1" w:styleId="AOAltHead2Car">
    <w:name w:val="AOAltHead2 Car"/>
    <w:rsid w:val="00A4422A"/>
    <w:rPr>
      <w:rFonts w:cs="Times New Roman"/>
    </w:rPr>
  </w:style>
  <w:style w:type="character" w:customStyle="1" w:styleId="AOHead1Char">
    <w:name w:val="AOHead1 Char"/>
    <w:link w:val="AOHead1"/>
    <w:uiPriority w:val="4"/>
    <w:rsid w:val="00A4422A"/>
    <w:rPr>
      <w:rFonts w:cs="Times New Roman"/>
      <w:b/>
      <w:caps/>
      <w:kern w:val="28"/>
    </w:rPr>
  </w:style>
  <w:style w:type="character" w:styleId="Hyperlink">
    <w:name w:val="Hyperlink"/>
    <w:uiPriority w:val="99"/>
    <w:rsid w:val="00A4422A"/>
    <w:rPr>
      <w:color w:val="0000FF"/>
      <w:u w:val="single"/>
    </w:rPr>
  </w:style>
  <w:style w:type="character" w:customStyle="1" w:styleId="AOHead3Char">
    <w:name w:val="AOHead3 Char"/>
    <w:link w:val="AOHead3"/>
    <w:uiPriority w:val="4"/>
    <w:rsid w:val="00A4422A"/>
    <w:rPr>
      <w:rFonts w:cs="Times New Roman"/>
    </w:rPr>
  </w:style>
  <w:style w:type="paragraph" w:customStyle="1" w:styleId="Headin1">
    <w:name w:val="Headin1"/>
    <w:basedOn w:val="AODocTxt"/>
    <w:rsid w:val="00A4422A"/>
    <w:rPr>
      <w:lang w:val="es-ES"/>
    </w:rPr>
  </w:style>
  <w:style w:type="paragraph" w:customStyle="1" w:styleId="Parties">
    <w:name w:val="Parties"/>
    <w:qFormat/>
    <w:rsid w:val="00A4422A"/>
    <w:pPr>
      <w:numPr>
        <w:numId w:val="27"/>
      </w:numPr>
      <w:spacing w:before="240"/>
      <w:jc w:val="both"/>
    </w:pPr>
    <w:rPr>
      <w:rFonts w:eastAsia="Calibri" w:cs="Times New Roman"/>
    </w:rPr>
  </w:style>
  <w:style w:type="paragraph" w:customStyle="1" w:styleId="Recitals">
    <w:name w:val="Recitals"/>
    <w:qFormat/>
    <w:rsid w:val="00A4422A"/>
    <w:pPr>
      <w:numPr>
        <w:ilvl w:val="1"/>
        <w:numId w:val="27"/>
      </w:numPr>
      <w:spacing w:before="240"/>
      <w:jc w:val="both"/>
    </w:pPr>
    <w:rPr>
      <w:rFonts w:eastAsia="Calibri" w:cs="Times New Roman"/>
    </w:rPr>
  </w:style>
  <w:style w:type="paragraph" w:customStyle="1" w:styleId="Num1">
    <w:name w:val="Num1"/>
    <w:qFormat/>
    <w:rsid w:val="00A4422A"/>
    <w:pPr>
      <w:numPr>
        <w:ilvl w:val="2"/>
        <w:numId w:val="27"/>
      </w:numPr>
      <w:spacing w:before="240"/>
      <w:jc w:val="both"/>
    </w:pPr>
    <w:rPr>
      <w:rFonts w:eastAsia="Calibri" w:cs="Times New Roman"/>
    </w:rPr>
  </w:style>
  <w:style w:type="paragraph" w:customStyle="1" w:styleId="ListArabic4">
    <w:name w:val="List Arabic 4"/>
    <w:basedOn w:val="Normal"/>
    <w:next w:val="Normal"/>
    <w:rsid w:val="00A4422A"/>
    <w:pPr>
      <w:tabs>
        <w:tab w:val="left" w:pos="86"/>
        <w:tab w:val="num" w:pos="2438"/>
      </w:tabs>
      <w:spacing w:after="200" w:line="288" w:lineRule="auto"/>
      <w:ind w:left="2438" w:hanging="510"/>
    </w:pPr>
    <w:rPr>
      <w:rFonts w:eastAsia="Calibri"/>
    </w:rPr>
  </w:style>
  <w:style w:type="paragraph" w:customStyle="1" w:styleId="ListLegal1">
    <w:name w:val="List Legal 1"/>
    <w:basedOn w:val="Normal"/>
    <w:next w:val="BodyText"/>
    <w:rsid w:val="00A4422A"/>
    <w:pPr>
      <w:tabs>
        <w:tab w:val="left" w:pos="22"/>
        <w:tab w:val="num" w:pos="624"/>
      </w:tabs>
      <w:spacing w:after="200" w:line="288" w:lineRule="auto"/>
      <w:ind w:left="624" w:hanging="624"/>
    </w:pPr>
    <w:rPr>
      <w:rFonts w:eastAsia="Calibri"/>
    </w:rPr>
  </w:style>
  <w:style w:type="paragraph" w:customStyle="1" w:styleId="ListLegal2">
    <w:name w:val="List Legal 2"/>
    <w:basedOn w:val="Normal"/>
    <w:next w:val="BodyText"/>
    <w:rsid w:val="00A4422A"/>
    <w:pPr>
      <w:tabs>
        <w:tab w:val="left" w:pos="22"/>
        <w:tab w:val="num" w:pos="624"/>
      </w:tabs>
      <w:spacing w:after="200" w:line="288" w:lineRule="auto"/>
      <w:ind w:left="624" w:hanging="624"/>
    </w:pPr>
    <w:rPr>
      <w:rFonts w:eastAsia="Calibri"/>
    </w:rPr>
  </w:style>
  <w:style w:type="character" w:customStyle="1" w:styleId="AOFPTxtChar">
    <w:name w:val="AOFPTxt Char"/>
    <w:link w:val="AOFPTxt"/>
    <w:uiPriority w:val="99"/>
    <w:rsid w:val="00A4422A"/>
    <w:rPr>
      <w:rFonts w:cs="Times New Roman"/>
      <w:b/>
    </w:rPr>
  </w:style>
  <w:style w:type="paragraph" w:customStyle="1" w:styleId="AOAnxTitleA">
    <w:name w:val="AOAnxTitleA"/>
    <w:basedOn w:val="AOAnxTitle"/>
    <w:rsid w:val="00A4422A"/>
    <w:rPr>
      <w:rFonts w:eastAsia="Calibri"/>
      <w:lang w:val="es-ES_tradnl"/>
    </w:rPr>
  </w:style>
  <w:style w:type="paragraph" w:customStyle="1" w:styleId="AOTitleA">
    <w:name w:val="AOTitleA"/>
    <w:basedOn w:val="AOTitle"/>
    <w:rsid w:val="00A4422A"/>
    <w:rPr>
      <w:rFonts w:eastAsia="Calibri"/>
    </w:rPr>
  </w:style>
  <w:style w:type="paragraph" w:customStyle="1" w:styleId="BulletL2">
    <w:name w:val="Bullet L2"/>
    <w:basedOn w:val="Normal"/>
    <w:rsid w:val="00A4422A"/>
    <w:pPr>
      <w:numPr>
        <w:ilvl w:val="1"/>
        <w:numId w:val="28"/>
      </w:numPr>
      <w:spacing w:after="240"/>
      <w:jc w:val="both"/>
      <w:outlineLvl w:val="1"/>
    </w:pPr>
    <w:rPr>
      <w:rFonts w:eastAsia="SimSun"/>
      <w:sz w:val="24"/>
      <w:szCs w:val="24"/>
      <w:lang w:eastAsia="zh-CN" w:bidi="ar-AE"/>
    </w:rPr>
  </w:style>
  <w:style w:type="paragraph" w:customStyle="1" w:styleId="BulletL1">
    <w:name w:val="Bullet L1"/>
    <w:basedOn w:val="Normal"/>
    <w:rsid w:val="00A4422A"/>
    <w:pPr>
      <w:numPr>
        <w:numId w:val="28"/>
      </w:numPr>
      <w:spacing w:after="240"/>
      <w:jc w:val="both"/>
      <w:outlineLvl w:val="0"/>
    </w:pPr>
    <w:rPr>
      <w:rFonts w:eastAsia="SimSun"/>
      <w:sz w:val="24"/>
      <w:szCs w:val="24"/>
      <w:lang w:eastAsia="zh-CN" w:bidi="ar-AE"/>
    </w:rPr>
  </w:style>
  <w:style w:type="paragraph" w:customStyle="1" w:styleId="AOGenNum1Listal">
    <w:name w:val="AOGenNum1Listal"/>
    <w:basedOn w:val="Normal"/>
    <w:rsid w:val="00A4422A"/>
    <w:pPr>
      <w:spacing w:before="240" w:line="260" w:lineRule="atLeast"/>
      <w:ind w:left="743" w:hanging="743"/>
      <w:jc w:val="both"/>
    </w:pPr>
  </w:style>
  <w:style w:type="paragraph" w:customStyle="1" w:styleId="Heading">
    <w:name w:val="Heading"/>
    <w:basedOn w:val="Normal"/>
    <w:rsid w:val="00A4422A"/>
    <w:pPr>
      <w:spacing w:before="240" w:line="260" w:lineRule="atLeast"/>
      <w:jc w:val="center"/>
      <w:outlineLvl w:val="0"/>
    </w:pPr>
    <w:rPr>
      <w:rFonts w:eastAsia="Times New Roman"/>
      <w:b/>
      <w:bCs/>
      <w:caps/>
      <w:szCs w:val="28"/>
    </w:rPr>
  </w:style>
  <w:style w:type="paragraph" w:customStyle="1" w:styleId="AODocTxt1">
    <w:name w:val="AODocTxt_1"/>
    <w:rsid w:val="00A4422A"/>
    <w:pPr>
      <w:spacing w:before="240"/>
      <w:jc w:val="both"/>
    </w:pPr>
    <w:rPr>
      <w:rFonts w:cs="Times New Roman"/>
    </w:rPr>
  </w:style>
  <w:style w:type="paragraph" w:customStyle="1" w:styleId="AOA1">
    <w:name w:val="AOA_1"/>
    <w:rsid w:val="00A4422A"/>
    <w:pPr>
      <w:spacing w:before="240"/>
      <w:ind w:left="720" w:hanging="720"/>
      <w:jc w:val="both"/>
    </w:pPr>
    <w:rPr>
      <w:rFonts w:cs="Times New Roman"/>
    </w:rPr>
  </w:style>
  <w:style w:type="paragraph" w:customStyle="1" w:styleId="Default">
    <w:name w:val="Default"/>
    <w:rsid w:val="00A4422A"/>
    <w:pPr>
      <w:autoSpaceDE w:val="0"/>
      <w:autoSpaceDN w:val="0"/>
      <w:adjustRightInd w:val="0"/>
      <w:spacing w:line="240" w:lineRule="auto"/>
    </w:pPr>
    <w:rPr>
      <w:rFonts w:cs="Times New Roman"/>
      <w:color w:val="000000"/>
      <w:sz w:val="24"/>
      <w:szCs w:val="24"/>
      <w:lang w:val="es-ES"/>
    </w:rPr>
  </w:style>
  <w:style w:type="paragraph" w:customStyle="1" w:styleId="Parties1">
    <w:name w:val="Parties1"/>
    <w:basedOn w:val="AODocTxt"/>
    <w:qFormat/>
    <w:rsid w:val="00A4422A"/>
    <w:pPr>
      <w:numPr>
        <w:numId w:val="30"/>
      </w:numPr>
    </w:pPr>
    <w:rPr>
      <w:rFonts w:eastAsia="Calibri"/>
    </w:rPr>
  </w:style>
  <w:style w:type="paragraph" w:customStyle="1" w:styleId="Parties2">
    <w:name w:val="Parties2"/>
    <w:basedOn w:val="AODocTxt"/>
    <w:qFormat/>
    <w:rsid w:val="00A4422A"/>
    <w:pPr>
      <w:numPr>
        <w:ilvl w:val="1"/>
        <w:numId w:val="30"/>
      </w:numPr>
    </w:pPr>
    <w:rPr>
      <w:rFonts w:eastAsia="Calibri"/>
    </w:rPr>
  </w:style>
  <w:style w:type="numbering" w:customStyle="1" w:styleId="NoList1">
    <w:name w:val="No List1"/>
    <w:next w:val="NoList"/>
    <w:uiPriority w:val="99"/>
    <w:semiHidden/>
    <w:unhideWhenUsed/>
    <w:rsid w:val="00A4422A"/>
  </w:style>
  <w:style w:type="table" w:customStyle="1" w:styleId="TableGrid1">
    <w:name w:val="Table Grid1"/>
    <w:basedOn w:val="TableNormal"/>
    <w:next w:val="TableGrid"/>
    <w:uiPriority w:val="59"/>
    <w:rsid w:val="00A4422A"/>
    <w:pPr>
      <w:spacing w:line="240" w:lineRule="auto"/>
    </w:pPr>
    <w:rPr>
      <w:rFonts w:eastAsia="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rsid w:val="00A4422A"/>
    <w:rPr>
      <w:b/>
      <w:bCs/>
      <w:smallCaps/>
      <w:spacing w:val="5"/>
    </w:rPr>
  </w:style>
  <w:style w:type="character" w:styleId="Emphasis">
    <w:name w:val="Emphasis"/>
    <w:uiPriority w:val="20"/>
    <w:rsid w:val="00A4422A"/>
    <w:rPr>
      <w:i/>
      <w:iCs/>
    </w:rPr>
  </w:style>
  <w:style w:type="character" w:styleId="IntenseEmphasis">
    <w:name w:val="Intense Emphasis"/>
    <w:uiPriority w:val="21"/>
    <w:rsid w:val="00A4422A"/>
    <w:rPr>
      <w:b/>
      <w:bCs/>
      <w:i/>
      <w:iCs/>
      <w:color w:val="4F81BD"/>
    </w:rPr>
  </w:style>
  <w:style w:type="paragraph" w:styleId="IntenseQuote">
    <w:name w:val="Intense Quote"/>
    <w:basedOn w:val="Normal"/>
    <w:next w:val="Normal"/>
    <w:link w:val="IntenseQuoteChar"/>
    <w:uiPriority w:val="30"/>
    <w:rsid w:val="00A4422A"/>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A4422A"/>
    <w:rPr>
      <w:rFonts w:eastAsia="Calibri" w:cs="Times New Roman"/>
      <w:b/>
      <w:bCs/>
      <w:i/>
      <w:iCs/>
      <w:color w:val="4F81BD"/>
    </w:rPr>
  </w:style>
  <w:style w:type="character" w:styleId="IntenseReference">
    <w:name w:val="Intense Reference"/>
    <w:uiPriority w:val="32"/>
    <w:rsid w:val="00A4422A"/>
    <w:rPr>
      <w:b/>
      <w:bCs/>
      <w:smallCaps/>
      <w:color w:val="C0504D"/>
      <w:spacing w:val="5"/>
      <w:u w:val="single"/>
    </w:rPr>
  </w:style>
  <w:style w:type="paragraph" w:styleId="NoSpacing">
    <w:name w:val="No Spacing"/>
    <w:uiPriority w:val="1"/>
    <w:rsid w:val="00A4422A"/>
    <w:pPr>
      <w:spacing w:line="240" w:lineRule="auto"/>
    </w:pPr>
    <w:rPr>
      <w:rFonts w:eastAsia="Calibri" w:cs="Times New Roman"/>
    </w:rPr>
  </w:style>
  <w:style w:type="paragraph" w:styleId="Quote">
    <w:name w:val="Quote"/>
    <w:basedOn w:val="Normal"/>
    <w:next w:val="Normal"/>
    <w:link w:val="QuoteChar"/>
    <w:uiPriority w:val="29"/>
    <w:rsid w:val="00A4422A"/>
    <w:rPr>
      <w:rFonts w:eastAsia="Calibri"/>
      <w:i/>
      <w:iCs/>
      <w:color w:val="000000"/>
    </w:rPr>
  </w:style>
  <w:style w:type="character" w:customStyle="1" w:styleId="QuoteChar">
    <w:name w:val="Quote Char"/>
    <w:basedOn w:val="DefaultParagraphFont"/>
    <w:link w:val="Quote"/>
    <w:uiPriority w:val="29"/>
    <w:rsid w:val="00A4422A"/>
    <w:rPr>
      <w:rFonts w:eastAsia="Calibri" w:cs="Times New Roman"/>
      <w:i/>
      <w:iCs/>
      <w:color w:val="000000"/>
    </w:rPr>
  </w:style>
  <w:style w:type="character" w:styleId="Strong">
    <w:name w:val="Strong"/>
    <w:uiPriority w:val="22"/>
    <w:rsid w:val="00A4422A"/>
    <w:rPr>
      <w:b/>
      <w:bCs/>
    </w:rPr>
  </w:style>
  <w:style w:type="paragraph" w:styleId="Subtitle">
    <w:name w:val="Subtitle"/>
    <w:basedOn w:val="Normal"/>
    <w:next w:val="Normal"/>
    <w:link w:val="SubtitleChar"/>
    <w:uiPriority w:val="11"/>
    <w:rsid w:val="00A4422A"/>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A4422A"/>
    <w:rPr>
      <w:rFonts w:ascii="Cambria" w:eastAsia="Times New Roman" w:hAnsi="Cambria" w:cs="Times New Roman"/>
      <w:sz w:val="24"/>
      <w:szCs w:val="24"/>
    </w:rPr>
  </w:style>
  <w:style w:type="character" w:styleId="SubtleEmphasis">
    <w:name w:val="Subtle Emphasis"/>
    <w:uiPriority w:val="19"/>
    <w:rsid w:val="00A4422A"/>
    <w:rPr>
      <w:i/>
      <w:iCs/>
      <w:color w:val="808080"/>
    </w:rPr>
  </w:style>
  <w:style w:type="character" w:styleId="SubtleReference">
    <w:name w:val="Subtle Reference"/>
    <w:uiPriority w:val="31"/>
    <w:rsid w:val="00A4422A"/>
    <w:rPr>
      <w:smallCaps/>
      <w:color w:val="C0504D"/>
      <w:u w:val="single"/>
    </w:rPr>
  </w:style>
  <w:style w:type="paragraph" w:styleId="Title">
    <w:name w:val="Title"/>
    <w:basedOn w:val="Normal"/>
    <w:next w:val="Normal"/>
    <w:link w:val="TitleChar"/>
    <w:uiPriority w:val="10"/>
    <w:rsid w:val="00A4422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4422A"/>
    <w:rPr>
      <w:rFonts w:ascii="Cambria" w:eastAsia="Times New Roman" w:hAnsi="Cambria" w:cs="Times New Roman"/>
      <w:b/>
      <w:bCs/>
      <w:kern w:val="28"/>
      <w:sz w:val="32"/>
      <w:szCs w:val="32"/>
    </w:rPr>
  </w:style>
  <w:style w:type="character" w:styleId="EndnoteReference">
    <w:name w:val="endnote reference"/>
    <w:uiPriority w:val="99"/>
    <w:semiHidden/>
    <w:unhideWhenUsed/>
    <w:rsid w:val="00A4422A"/>
    <w:rPr>
      <w:vertAlign w:val="superscript"/>
    </w:rPr>
  </w:style>
  <w:style w:type="paragraph" w:styleId="Index1">
    <w:name w:val="index 1"/>
    <w:basedOn w:val="Normal"/>
    <w:next w:val="Normal"/>
    <w:uiPriority w:val="99"/>
    <w:semiHidden/>
    <w:unhideWhenUsed/>
    <w:rsid w:val="00A4422A"/>
    <w:pPr>
      <w:ind w:left="220" w:hanging="220"/>
    </w:pPr>
    <w:rPr>
      <w:rFonts w:eastAsia="Calibri"/>
    </w:rPr>
  </w:style>
  <w:style w:type="paragraph" w:styleId="Index2">
    <w:name w:val="index 2"/>
    <w:basedOn w:val="Normal"/>
    <w:next w:val="Normal"/>
    <w:uiPriority w:val="99"/>
    <w:semiHidden/>
    <w:unhideWhenUsed/>
    <w:rsid w:val="00A4422A"/>
    <w:pPr>
      <w:ind w:left="440" w:hanging="220"/>
    </w:pPr>
    <w:rPr>
      <w:rFonts w:eastAsia="Calibri"/>
    </w:rPr>
  </w:style>
  <w:style w:type="paragraph" w:styleId="Index3">
    <w:name w:val="index 3"/>
    <w:basedOn w:val="Normal"/>
    <w:next w:val="Normal"/>
    <w:uiPriority w:val="99"/>
    <w:semiHidden/>
    <w:unhideWhenUsed/>
    <w:rsid w:val="00A4422A"/>
    <w:pPr>
      <w:ind w:left="660" w:hanging="220"/>
    </w:pPr>
    <w:rPr>
      <w:rFonts w:eastAsia="Calibri"/>
    </w:rPr>
  </w:style>
  <w:style w:type="paragraph" w:styleId="Index4">
    <w:name w:val="index 4"/>
    <w:basedOn w:val="Normal"/>
    <w:next w:val="Normal"/>
    <w:uiPriority w:val="99"/>
    <w:semiHidden/>
    <w:unhideWhenUsed/>
    <w:rsid w:val="00A4422A"/>
    <w:pPr>
      <w:ind w:left="880" w:hanging="220"/>
    </w:pPr>
    <w:rPr>
      <w:rFonts w:eastAsia="Calibri"/>
    </w:rPr>
  </w:style>
  <w:style w:type="paragraph" w:styleId="Index5">
    <w:name w:val="index 5"/>
    <w:basedOn w:val="Normal"/>
    <w:next w:val="Normal"/>
    <w:uiPriority w:val="99"/>
    <w:semiHidden/>
    <w:unhideWhenUsed/>
    <w:rsid w:val="00A4422A"/>
    <w:pPr>
      <w:ind w:left="1100" w:hanging="220"/>
    </w:pPr>
    <w:rPr>
      <w:rFonts w:eastAsia="Calibri"/>
    </w:rPr>
  </w:style>
  <w:style w:type="paragraph" w:styleId="Index6">
    <w:name w:val="index 6"/>
    <w:basedOn w:val="Normal"/>
    <w:next w:val="Normal"/>
    <w:uiPriority w:val="99"/>
    <w:semiHidden/>
    <w:unhideWhenUsed/>
    <w:rsid w:val="00A4422A"/>
    <w:pPr>
      <w:ind w:left="1320" w:hanging="220"/>
    </w:pPr>
    <w:rPr>
      <w:rFonts w:eastAsia="Calibri"/>
    </w:rPr>
  </w:style>
  <w:style w:type="paragraph" w:styleId="Index7">
    <w:name w:val="index 7"/>
    <w:basedOn w:val="Normal"/>
    <w:next w:val="Normal"/>
    <w:uiPriority w:val="99"/>
    <w:semiHidden/>
    <w:unhideWhenUsed/>
    <w:rsid w:val="00A4422A"/>
    <w:pPr>
      <w:ind w:left="1540" w:hanging="220"/>
    </w:pPr>
    <w:rPr>
      <w:rFonts w:eastAsia="Calibri"/>
    </w:rPr>
  </w:style>
  <w:style w:type="paragraph" w:styleId="Index8">
    <w:name w:val="index 8"/>
    <w:basedOn w:val="Normal"/>
    <w:next w:val="Normal"/>
    <w:uiPriority w:val="99"/>
    <w:semiHidden/>
    <w:unhideWhenUsed/>
    <w:rsid w:val="00A4422A"/>
    <w:pPr>
      <w:ind w:left="1760" w:hanging="220"/>
    </w:pPr>
    <w:rPr>
      <w:rFonts w:eastAsia="Calibri"/>
    </w:rPr>
  </w:style>
  <w:style w:type="paragraph" w:styleId="Index9">
    <w:name w:val="index 9"/>
    <w:basedOn w:val="Normal"/>
    <w:next w:val="Normal"/>
    <w:uiPriority w:val="99"/>
    <w:semiHidden/>
    <w:unhideWhenUsed/>
    <w:rsid w:val="00A4422A"/>
    <w:pPr>
      <w:ind w:left="1980" w:hanging="220"/>
    </w:pPr>
    <w:rPr>
      <w:rFonts w:eastAsia="Calibri"/>
    </w:rPr>
  </w:style>
  <w:style w:type="paragraph" w:customStyle="1" w:styleId="AnxHead">
    <w:name w:val="AnxHead"/>
    <w:qFormat/>
    <w:rsid w:val="00A4422A"/>
    <w:pPr>
      <w:numPr>
        <w:numId w:val="34"/>
      </w:numPr>
      <w:spacing w:before="240"/>
      <w:jc w:val="center"/>
    </w:pPr>
    <w:rPr>
      <w:rFonts w:ascii="Times New Roman Bold" w:eastAsia="Calibri" w:hAnsi="Times New Roman Bold" w:cs="Times New Roman"/>
      <w:b/>
      <w:caps/>
    </w:rPr>
  </w:style>
  <w:style w:type="paragraph" w:customStyle="1" w:styleId="AnxTitle">
    <w:name w:val="AnxTitle"/>
    <w:qFormat/>
    <w:rsid w:val="00A4422A"/>
    <w:pPr>
      <w:numPr>
        <w:ilvl w:val="1"/>
        <w:numId w:val="34"/>
      </w:numPr>
      <w:spacing w:before="240"/>
      <w:jc w:val="center"/>
    </w:pPr>
    <w:rPr>
      <w:rFonts w:eastAsia="Calibri" w:cs="Times New Roman"/>
      <w:b/>
      <w:caps/>
    </w:rPr>
  </w:style>
  <w:style w:type="paragraph" w:customStyle="1" w:styleId="Recitals1">
    <w:name w:val="Recitals1"/>
    <w:qFormat/>
    <w:rsid w:val="00A4422A"/>
    <w:pPr>
      <w:tabs>
        <w:tab w:val="num" w:pos="1440"/>
      </w:tabs>
      <w:spacing w:before="240"/>
      <w:ind w:left="1440" w:hanging="720"/>
      <w:jc w:val="both"/>
    </w:pPr>
    <w:rPr>
      <w:rFonts w:eastAsia="Calibri" w:cs="Times New Roman"/>
    </w:rPr>
  </w:style>
  <w:style w:type="character" w:styleId="FollowedHyperlink">
    <w:name w:val="FollowedHyperlink"/>
    <w:uiPriority w:val="99"/>
    <w:semiHidden/>
    <w:unhideWhenUsed/>
    <w:rsid w:val="00A4422A"/>
    <w:rPr>
      <w:color w:val="800080"/>
      <w:u w:val="single"/>
    </w:rPr>
  </w:style>
  <w:style w:type="paragraph" w:customStyle="1" w:styleId="BodyTextNumbered">
    <w:name w:val="Body Text Numbered"/>
    <w:basedOn w:val="Normal"/>
    <w:qFormat/>
    <w:rsid w:val="00A4422A"/>
    <w:pPr>
      <w:numPr>
        <w:numId w:val="35"/>
      </w:numPr>
      <w:tabs>
        <w:tab w:val="clear" w:pos="2160"/>
        <w:tab w:val="num" w:pos="720"/>
      </w:tabs>
      <w:spacing w:after="240"/>
      <w:ind w:left="720" w:hanging="720"/>
    </w:pPr>
    <w:rPr>
      <w:rFonts w:eastAsia="Times New Roman"/>
      <w:szCs w:val="24"/>
    </w:rPr>
  </w:style>
  <w:style w:type="paragraph" w:customStyle="1" w:styleId="BulletedList">
    <w:name w:val="Bulleted List"/>
    <w:basedOn w:val="Normal"/>
    <w:qFormat/>
    <w:rsid w:val="00A4422A"/>
    <w:pPr>
      <w:numPr>
        <w:numId w:val="36"/>
      </w:numPr>
      <w:tabs>
        <w:tab w:val="num" w:pos="720"/>
      </w:tabs>
      <w:spacing w:after="240"/>
    </w:pPr>
    <w:rPr>
      <w:rFonts w:eastAsia="Times New Roman"/>
      <w:szCs w:val="24"/>
    </w:rPr>
  </w:style>
  <w:style w:type="paragraph" w:customStyle="1" w:styleId="PAAlphaListindent15">
    <w:name w:val="PA Alpha List indent 1.5"/>
    <w:basedOn w:val="Normal"/>
    <w:rsid w:val="00A4422A"/>
    <w:pPr>
      <w:numPr>
        <w:numId w:val="37"/>
      </w:numPr>
      <w:spacing w:after="120"/>
      <w:jc w:val="both"/>
    </w:pPr>
    <w:rPr>
      <w:rFonts w:eastAsia="Times New Roman"/>
      <w:szCs w:val="24"/>
      <w:lang w:val="fr-FR"/>
    </w:rPr>
  </w:style>
  <w:style w:type="paragraph" w:customStyle="1" w:styleId="S2Heading1">
    <w:name w:val="S2.Heading 1"/>
    <w:basedOn w:val="Normal"/>
    <w:next w:val="S2Heading2"/>
    <w:rsid w:val="00A4422A"/>
    <w:pPr>
      <w:keepNext/>
      <w:numPr>
        <w:numId w:val="38"/>
      </w:numPr>
      <w:spacing w:after="240"/>
      <w:jc w:val="center"/>
      <w:outlineLvl w:val="0"/>
    </w:pPr>
    <w:rPr>
      <w:rFonts w:eastAsia="Times New Roman"/>
      <w:b/>
      <w:caps/>
      <w:color w:val="000000"/>
      <w:szCs w:val="24"/>
      <w:lang w:eastAsia="en-GB" w:bidi="en-GB"/>
    </w:rPr>
  </w:style>
  <w:style w:type="paragraph" w:customStyle="1" w:styleId="S2Heading2">
    <w:name w:val="S2.Heading 2"/>
    <w:basedOn w:val="Normal"/>
    <w:rsid w:val="00A4422A"/>
    <w:pPr>
      <w:keepNext/>
      <w:numPr>
        <w:ilvl w:val="1"/>
        <w:numId w:val="38"/>
      </w:numPr>
      <w:spacing w:after="240" w:line="246" w:lineRule="atLeast"/>
      <w:jc w:val="both"/>
      <w:outlineLvl w:val="1"/>
    </w:pPr>
    <w:rPr>
      <w:rFonts w:eastAsia="Times New Roman"/>
      <w:szCs w:val="24"/>
      <w:lang w:eastAsia="en-GB" w:bidi="en-GB"/>
    </w:rPr>
  </w:style>
  <w:style w:type="paragraph" w:customStyle="1" w:styleId="S2Heading3">
    <w:name w:val="S2.Heading 3"/>
    <w:basedOn w:val="Normal"/>
    <w:rsid w:val="00A4422A"/>
    <w:pPr>
      <w:numPr>
        <w:ilvl w:val="2"/>
        <w:numId w:val="38"/>
      </w:numPr>
      <w:spacing w:after="240" w:line="246" w:lineRule="atLeast"/>
      <w:jc w:val="both"/>
      <w:outlineLvl w:val="2"/>
    </w:pPr>
    <w:rPr>
      <w:rFonts w:eastAsia="Times New Roman"/>
      <w:szCs w:val="24"/>
      <w:lang w:eastAsia="en-GB" w:bidi="en-GB"/>
    </w:rPr>
  </w:style>
  <w:style w:type="paragraph" w:customStyle="1" w:styleId="S2Heading4">
    <w:name w:val="S2.Heading 4"/>
    <w:basedOn w:val="Normal"/>
    <w:link w:val="S2Heading4Char"/>
    <w:rsid w:val="00A4422A"/>
    <w:pPr>
      <w:numPr>
        <w:ilvl w:val="3"/>
        <w:numId w:val="38"/>
      </w:numPr>
      <w:spacing w:after="240" w:line="246" w:lineRule="atLeast"/>
      <w:jc w:val="both"/>
      <w:outlineLvl w:val="3"/>
    </w:pPr>
    <w:rPr>
      <w:rFonts w:eastAsia="Times New Roman"/>
      <w:szCs w:val="24"/>
      <w:lang w:eastAsia="en-GB" w:bidi="en-GB"/>
    </w:rPr>
  </w:style>
  <w:style w:type="character" w:customStyle="1" w:styleId="S2Heading4Char">
    <w:name w:val="S2.Heading 4 Char"/>
    <w:link w:val="S2Heading4"/>
    <w:rsid w:val="00A4422A"/>
    <w:rPr>
      <w:rFonts w:eastAsia="Times New Roman" w:cs="Times New Roman"/>
      <w:szCs w:val="24"/>
      <w:lang w:eastAsia="en-GB" w:bidi="en-GB"/>
    </w:rPr>
  </w:style>
  <w:style w:type="paragraph" w:customStyle="1" w:styleId="S2Heading5">
    <w:name w:val="S2.Heading 5"/>
    <w:basedOn w:val="Normal"/>
    <w:rsid w:val="00A4422A"/>
    <w:pPr>
      <w:numPr>
        <w:ilvl w:val="4"/>
        <w:numId w:val="38"/>
      </w:numPr>
      <w:spacing w:after="240" w:line="246" w:lineRule="atLeast"/>
      <w:jc w:val="both"/>
      <w:outlineLvl w:val="4"/>
    </w:pPr>
    <w:rPr>
      <w:rFonts w:eastAsia="Times New Roman"/>
      <w:szCs w:val="24"/>
      <w:lang w:eastAsia="en-GB" w:bidi="en-GB"/>
    </w:rPr>
  </w:style>
  <w:style w:type="paragraph" w:customStyle="1" w:styleId="S2Heading6">
    <w:name w:val="S2.Heading 6"/>
    <w:basedOn w:val="Normal"/>
    <w:rsid w:val="00A4422A"/>
    <w:pPr>
      <w:numPr>
        <w:ilvl w:val="5"/>
        <w:numId w:val="38"/>
      </w:numPr>
      <w:spacing w:after="240" w:line="246" w:lineRule="atLeast"/>
      <w:jc w:val="both"/>
      <w:outlineLvl w:val="5"/>
    </w:pPr>
    <w:rPr>
      <w:rFonts w:eastAsia="Times New Roman"/>
      <w:szCs w:val="24"/>
      <w:lang w:eastAsia="en-GB" w:bidi="en-GB"/>
    </w:rPr>
  </w:style>
  <w:style w:type="paragraph" w:customStyle="1" w:styleId="S2Heading7">
    <w:name w:val="S2.Heading 7"/>
    <w:basedOn w:val="Normal"/>
    <w:rsid w:val="00A4422A"/>
    <w:pPr>
      <w:numPr>
        <w:ilvl w:val="6"/>
        <w:numId w:val="38"/>
      </w:numPr>
      <w:spacing w:after="240" w:line="246" w:lineRule="atLeast"/>
      <w:jc w:val="both"/>
      <w:outlineLvl w:val="6"/>
    </w:pPr>
    <w:rPr>
      <w:rFonts w:eastAsia="Times New Roman"/>
      <w:szCs w:val="24"/>
      <w:lang w:eastAsia="en-GB" w:bidi="en-GB"/>
    </w:rPr>
  </w:style>
  <w:style w:type="paragraph" w:customStyle="1" w:styleId="S2Heading8">
    <w:name w:val="S2.Heading 8"/>
    <w:basedOn w:val="Normal"/>
    <w:rsid w:val="00A4422A"/>
    <w:pPr>
      <w:numPr>
        <w:ilvl w:val="7"/>
        <w:numId w:val="38"/>
      </w:numPr>
      <w:spacing w:after="240" w:line="246" w:lineRule="atLeast"/>
      <w:jc w:val="both"/>
      <w:outlineLvl w:val="7"/>
    </w:pPr>
    <w:rPr>
      <w:rFonts w:eastAsia="Times New Roman"/>
      <w:szCs w:val="24"/>
      <w:lang w:eastAsia="en-GB" w:bidi="en-GB"/>
    </w:rPr>
  </w:style>
  <w:style w:type="paragraph" w:customStyle="1" w:styleId="S2Heading9">
    <w:name w:val="S2.Heading 9"/>
    <w:basedOn w:val="Normal"/>
    <w:rsid w:val="00A4422A"/>
    <w:pPr>
      <w:numPr>
        <w:ilvl w:val="8"/>
        <w:numId w:val="38"/>
      </w:numPr>
      <w:spacing w:after="240" w:line="246" w:lineRule="atLeast"/>
      <w:jc w:val="both"/>
      <w:outlineLvl w:val="8"/>
    </w:pPr>
    <w:rPr>
      <w:rFonts w:eastAsia="Times New Roman"/>
      <w:szCs w:val="24"/>
      <w:lang w:eastAsia="en-GB" w:bidi="en-GB"/>
    </w:rPr>
  </w:style>
  <w:style w:type="paragraph" w:customStyle="1" w:styleId="AO10">
    <w:name w:val="AO1"/>
    <w:basedOn w:val="AODocTxt"/>
    <w:rsid w:val="00B53048"/>
    <w:pPr>
      <w:numPr>
        <w:numId w:val="33"/>
      </w:numPr>
    </w:pPr>
    <w:rPr>
      <w:b/>
    </w:rPr>
  </w:style>
  <w:style w:type="paragraph" w:customStyle="1" w:styleId="Definition1">
    <w:name w:val="Definition 1"/>
    <w:aliases w:val="D1"/>
    <w:basedOn w:val="Normal"/>
    <w:uiPriority w:val="3"/>
    <w:qFormat/>
    <w:rsid w:val="00D67D0C"/>
    <w:pPr>
      <w:numPr>
        <w:numId w:val="42"/>
      </w:numPr>
      <w:spacing w:after="220"/>
      <w:jc w:val="both"/>
    </w:pPr>
    <w:rPr>
      <w:rFonts w:eastAsia="Times New Roman"/>
      <w:szCs w:val="20"/>
    </w:rPr>
  </w:style>
  <w:style w:type="paragraph" w:customStyle="1" w:styleId="Definition2">
    <w:name w:val="Definition 2"/>
    <w:aliases w:val="D2"/>
    <w:basedOn w:val="Normal"/>
    <w:uiPriority w:val="3"/>
    <w:qFormat/>
    <w:rsid w:val="00D67D0C"/>
    <w:pPr>
      <w:numPr>
        <w:ilvl w:val="1"/>
        <w:numId w:val="42"/>
      </w:numPr>
      <w:spacing w:after="220"/>
      <w:jc w:val="both"/>
    </w:pPr>
    <w:rPr>
      <w:rFonts w:eastAsia="Times New Roman"/>
      <w:szCs w:val="20"/>
    </w:rPr>
  </w:style>
  <w:style w:type="paragraph" w:customStyle="1" w:styleId="Definition3">
    <w:name w:val="Definition 3"/>
    <w:aliases w:val="D3"/>
    <w:basedOn w:val="Normal"/>
    <w:uiPriority w:val="3"/>
    <w:qFormat/>
    <w:rsid w:val="00D67D0C"/>
    <w:pPr>
      <w:numPr>
        <w:ilvl w:val="2"/>
        <w:numId w:val="42"/>
      </w:numPr>
      <w:spacing w:after="220"/>
      <w:jc w:val="both"/>
    </w:pPr>
    <w:rPr>
      <w:rFonts w:eastAsia="Times New Roman"/>
      <w:szCs w:val="20"/>
    </w:rPr>
  </w:style>
  <w:style w:type="paragraph" w:customStyle="1" w:styleId="Definition4">
    <w:name w:val="Definition 4"/>
    <w:aliases w:val="D4"/>
    <w:basedOn w:val="Normal"/>
    <w:uiPriority w:val="3"/>
    <w:qFormat/>
    <w:rsid w:val="00D67D0C"/>
    <w:pPr>
      <w:numPr>
        <w:ilvl w:val="3"/>
        <w:numId w:val="42"/>
      </w:numPr>
      <w:spacing w:after="220"/>
      <w:jc w:val="both"/>
    </w:pPr>
    <w:rPr>
      <w:rFonts w:eastAsia="Times New Roman"/>
      <w:szCs w:val="20"/>
    </w:rPr>
  </w:style>
  <w:style w:type="paragraph" w:customStyle="1" w:styleId="Definition5">
    <w:name w:val="Definition 5"/>
    <w:aliases w:val="D5"/>
    <w:basedOn w:val="Normal"/>
    <w:uiPriority w:val="3"/>
    <w:qFormat/>
    <w:rsid w:val="00D67D0C"/>
    <w:pPr>
      <w:numPr>
        <w:ilvl w:val="4"/>
        <w:numId w:val="42"/>
      </w:numPr>
      <w:spacing w:after="220"/>
      <w:jc w:val="both"/>
    </w:pPr>
    <w:rPr>
      <w:rFonts w:eastAsia="Times New Roman"/>
      <w:szCs w:val="20"/>
    </w:rPr>
  </w:style>
  <w:style w:type="paragraph" w:customStyle="1" w:styleId="Definition6">
    <w:name w:val="Definition 6"/>
    <w:aliases w:val="D6"/>
    <w:basedOn w:val="Normal"/>
    <w:uiPriority w:val="3"/>
    <w:unhideWhenUsed/>
    <w:qFormat/>
    <w:rsid w:val="00D67D0C"/>
    <w:pPr>
      <w:numPr>
        <w:ilvl w:val="5"/>
        <w:numId w:val="42"/>
      </w:numPr>
      <w:spacing w:after="220"/>
      <w:jc w:val="both"/>
    </w:pPr>
    <w:rPr>
      <w:rFonts w:eastAsia="Times New Roman"/>
      <w:szCs w:val="20"/>
    </w:rPr>
  </w:style>
  <w:style w:type="paragraph" w:customStyle="1" w:styleId="Definition7">
    <w:name w:val="Definition 7"/>
    <w:basedOn w:val="Normal"/>
    <w:uiPriority w:val="3"/>
    <w:unhideWhenUsed/>
    <w:qFormat/>
    <w:rsid w:val="00D67D0C"/>
    <w:pPr>
      <w:numPr>
        <w:ilvl w:val="6"/>
        <w:numId w:val="42"/>
      </w:numPr>
      <w:spacing w:after="220"/>
      <w:jc w:val="both"/>
    </w:pPr>
    <w:rPr>
      <w:rFonts w:eastAsia="Times New Roman"/>
      <w:szCs w:val="20"/>
    </w:rPr>
  </w:style>
  <w:style w:type="paragraph" w:customStyle="1" w:styleId="Definition8">
    <w:name w:val="Definition 8"/>
    <w:basedOn w:val="Normal"/>
    <w:uiPriority w:val="3"/>
    <w:unhideWhenUsed/>
    <w:qFormat/>
    <w:rsid w:val="00D67D0C"/>
    <w:pPr>
      <w:numPr>
        <w:ilvl w:val="7"/>
        <w:numId w:val="42"/>
      </w:numPr>
      <w:spacing w:after="220"/>
      <w:jc w:val="both"/>
    </w:pPr>
    <w:rPr>
      <w:rFonts w:eastAsia="Times New Roman"/>
      <w:szCs w:val="20"/>
    </w:rPr>
  </w:style>
  <w:style w:type="paragraph" w:customStyle="1" w:styleId="Definition9">
    <w:name w:val="Definition 9"/>
    <w:basedOn w:val="Normal"/>
    <w:uiPriority w:val="3"/>
    <w:unhideWhenUsed/>
    <w:qFormat/>
    <w:rsid w:val="00D67D0C"/>
    <w:pPr>
      <w:numPr>
        <w:ilvl w:val="8"/>
        <w:numId w:val="42"/>
      </w:numPr>
      <w:spacing w:after="220"/>
      <w:jc w:val="both"/>
    </w:pPr>
    <w:rPr>
      <w:rFonts w:eastAsia="Times New Roman"/>
      <w:szCs w:val="20"/>
    </w:rPr>
  </w:style>
  <w:style w:type="paragraph" w:customStyle="1" w:styleId="AODefParaL2">
    <w:name w:val="AODefParaL2"/>
    <w:basedOn w:val="AODefPara"/>
    <w:rsid w:val="00137772"/>
    <w:pPr>
      <w:numPr>
        <w:ilvl w:val="2"/>
      </w:numPr>
    </w:pPr>
  </w:style>
  <w:style w:type="paragraph" w:customStyle="1" w:styleId="AODefParaL3">
    <w:name w:val="AODefParaL3"/>
    <w:basedOn w:val="AODefPara"/>
    <w:rsid w:val="00137772"/>
    <w:pPr>
      <w:numPr>
        <w:ilvl w:val="3"/>
      </w:numPr>
    </w:pPr>
  </w:style>
  <w:style w:type="paragraph" w:customStyle="1" w:styleId="AODefParaL4">
    <w:name w:val="AODefParaL4"/>
    <w:basedOn w:val="AODefPara"/>
    <w:rsid w:val="00137772"/>
    <w:pPr>
      <w:numPr>
        <w:ilvl w:val="4"/>
      </w:numPr>
    </w:pPr>
  </w:style>
  <w:style w:type="paragraph" w:customStyle="1" w:styleId="AODefParaL5">
    <w:name w:val="AODefParaL5"/>
    <w:basedOn w:val="AODefPara"/>
    <w:rsid w:val="00137772"/>
    <w:pPr>
      <w:numPr>
        <w:ilvl w:val="5"/>
      </w:numPr>
    </w:pPr>
  </w:style>
  <w:style w:type="paragraph" w:customStyle="1" w:styleId="AODefParaL6">
    <w:name w:val="AODefParaL6"/>
    <w:basedOn w:val="AODefPara"/>
    <w:rsid w:val="00137772"/>
    <w:pPr>
      <w:numPr>
        <w:ilvl w:val="6"/>
      </w:numPr>
    </w:pPr>
  </w:style>
  <w:style w:type="paragraph" w:customStyle="1" w:styleId="AODefParaL7">
    <w:name w:val="AODefParaL7"/>
    <w:basedOn w:val="AODefPara"/>
    <w:rsid w:val="00137772"/>
    <w:pPr>
      <w:numPr>
        <w:ilvl w:val="7"/>
      </w:numPr>
    </w:pPr>
  </w:style>
  <w:style w:type="paragraph" w:customStyle="1" w:styleId="AODefParaL8">
    <w:name w:val="AODefParaL8"/>
    <w:basedOn w:val="AODefPara"/>
    <w:rsid w:val="00137772"/>
    <w:pPr>
      <w:numPr>
        <w:ilvl w:val="8"/>
      </w:numPr>
    </w:pPr>
  </w:style>
  <w:style w:type="paragraph" w:customStyle="1" w:styleId="AOGenNum1List2">
    <w:name w:val="AOGenNum1List2"/>
    <w:basedOn w:val="AOGenNum1List"/>
    <w:uiPriority w:val="36"/>
    <w:rsid w:val="00137772"/>
    <w:pPr>
      <w:numPr>
        <w:ilvl w:val="3"/>
      </w:numPr>
    </w:pPr>
  </w:style>
  <w:style w:type="paragraph" w:customStyle="1" w:styleId="AOGenNum1List3">
    <w:name w:val="AOGenNum1List3"/>
    <w:basedOn w:val="AOGenNum1List"/>
    <w:uiPriority w:val="36"/>
    <w:rsid w:val="00137772"/>
    <w:pPr>
      <w:numPr>
        <w:ilvl w:val="4"/>
      </w:numPr>
    </w:pPr>
  </w:style>
  <w:style w:type="paragraph" w:customStyle="1" w:styleId="AOGenNum1List4">
    <w:name w:val="AOGenNum1List4"/>
    <w:basedOn w:val="AOGenNum1List"/>
    <w:uiPriority w:val="36"/>
    <w:rsid w:val="00137772"/>
    <w:pPr>
      <w:numPr>
        <w:ilvl w:val="5"/>
      </w:numPr>
    </w:pPr>
  </w:style>
  <w:style w:type="paragraph" w:customStyle="1" w:styleId="AOGenNum1List5">
    <w:name w:val="AOGenNum1List5"/>
    <w:basedOn w:val="AOGenNum1List"/>
    <w:uiPriority w:val="36"/>
    <w:rsid w:val="00137772"/>
    <w:pPr>
      <w:numPr>
        <w:ilvl w:val="6"/>
      </w:numPr>
    </w:pPr>
  </w:style>
  <w:style w:type="paragraph" w:customStyle="1" w:styleId="AOGenNum1List6">
    <w:name w:val="AOGenNum1List6"/>
    <w:basedOn w:val="AOGenNum1List"/>
    <w:uiPriority w:val="36"/>
    <w:rsid w:val="00137772"/>
    <w:pPr>
      <w:numPr>
        <w:ilvl w:val="7"/>
      </w:numPr>
    </w:pPr>
  </w:style>
  <w:style w:type="paragraph" w:customStyle="1" w:styleId="AOGenNum1List7">
    <w:name w:val="AOGenNum1List7"/>
    <w:basedOn w:val="AOGenNum1List"/>
    <w:uiPriority w:val="36"/>
    <w:rsid w:val="00137772"/>
    <w:pPr>
      <w:numPr>
        <w:ilvl w:val="8"/>
      </w:numPr>
    </w:pPr>
  </w:style>
  <w:style w:type="paragraph" w:customStyle="1" w:styleId="AOGenNum2List2">
    <w:name w:val="AOGenNum2List2"/>
    <w:basedOn w:val="AOGenNum2List"/>
    <w:uiPriority w:val="41"/>
    <w:rsid w:val="00137772"/>
    <w:pPr>
      <w:numPr>
        <w:ilvl w:val="3"/>
      </w:numPr>
    </w:pPr>
  </w:style>
  <w:style w:type="paragraph" w:customStyle="1" w:styleId="AOGenNum2List3">
    <w:name w:val="AOGenNum2List3"/>
    <w:basedOn w:val="AOGenNum2List"/>
    <w:uiPriority w:val="41"/>
    <w:rsid w:val="00137772"/>
    <w:pPr>
      <w:numPr>
        <w:ilvl w:val="4"/>
      </w:numPr>
    </w:pPr>
  </w:style>
  <w:style w:type="paragraph" w:customStyle="1" w:styleId="AOGenNum2List4">
    <w:name w:val="AOGenNum2List4"/>
    <w:basedOn w:val="AOGenNum2List"/>
    <w:uiPriority w:val="41"/>
    <w:rsid w:val="00137772"/>
    <w:pPr>
      <w:numPr>
        <w:ilvl w:val="5"/>
      </w:numPr>
    </w:pPr>
  </w:style>
  <w:style w:type="paragraph" w:customStyle="1" w:styleId="AOGenNum2List5">
    <w:name w:val="AOGenNum2List5"/>
    <w:basedOn w:val="AOGenNum2List"/>
    <w:uiPriority w:val="41"/>
    <w:rsid w:val="00137772"/>
    <w:pPr>
      <w:numPr>
        <w:ilvl w:val="6"/>
      </w:numPr>
    </w:pPr>
  </w:style>
  <w:style w:type="paragraph" w:customStyle="1" w:styleId="AOGenNum2List6">
    <w:name w:val="AOGenNum2List6"/>
    <w:basedOn w:val="AOGenNum2List"/>
    <w:uiPriority w:val="41"/>
    <w:rsid w:val="00137772"/>
    <w:pPr>
      <w:numPr>
        <w:ilvl w:val="7"/>
      </w:numPr>
    </w:pPr>
  </w:style>
  <w:style w:type="paragraph" w:customStyle="1" w:styleId="AOGenNum2List7">
    <w:name w:val="AOGenNum2List7"/>
    <w:basedOn w:val="AOGenNum2List"/>
    <w:uiPriority w:val="41"/>
    <w:rsid w:val="00137772"/>
    <w:pPr>
      <w:numPr>
        <w:ilvl w:val="8"/>
      </w:numPr>
    </w:pPr>
  </w:style>
  <w:style w:type="paragraph" w:customStyle="1" w:styleId="AOGenNum3List2">
    <w:name w:val="AOGenNum3List2"/>
    <w:basedOn w:val="AOGenNum3"/>
    <w:uiPriority w:val="46"/>
    <w:rsid w:val="00137772"/>
    <w:pPr>
      <w:numPr>
        <w:ilvl w:val="2"/>
      </w:numPr>
    </w:pPr>
  </w:style>
  <w:style w:type="paragraph" w:customStyle="1" w:styleId="AOGenNum3List3">
    <w:name w:val="AOGenNum3List3"/>
    <w:basedOn w:val="AOGenNum3List"/>
    <w:uiPriority w:val="46"/>
    <w:rsid w:val="00137772"/>
    <w:pPr>
      <w:numPr>
        <w:ilvl w:val="3"/>
      </w:numPr>
    </w:pPr>
  </w:style>
  <w:style w:type="paragraph" w:customStyle="1" w:styleId="AOGenNum3List4">
    <w:name w:val="AOGenNum3List4"/>
    <w:basedOn w:val="AOGenNum3List"/>
    <w:uiPriority w:val="46"/>
    <w:rsid w:val="00137772"/>
    <w:pPr>
      <w:numPr>
        <w:ilvl w:val="4"/>
      </w:numPr>
    </w:pPr>
  </w:style>
  <w:style w:type="paragraph" w:customStyle="1" w:styleId="AOGenNum3List5">
    <w:name w:val="AOGenNum3List5"/>
    <w:basedOn w:val="AOGenNum3List"/>
    <w:uiPriority w:val="46"/>
    <w:rsid w:val="00137772"/>
    <w:pPr>
      <w:numPr>
        <w:ilvl w:val="5"/>
      </w:numPr>
    </w:pPr>
  </w:style>
  <w:style w:type="paragraph" w:customStyle="1" w:styleId="AOGenNum3List6">
    <w:name w:val="AOGenNum3List6"/>
    <w:basedOn w:val="AOGenNum3List"/>
    <w:uiPriority w:val="46"/>
    <w:rsid w:val="00137772"/>
    <w:pPr>
      <w:numPr>
        <w:ilvl w:val="6"/>
      </w:numPr>
    </w:pPr>
  </w:style>
  <w:style w:type="paragraph" w:customStyle="1" w:styleId="AOGenNum3List7">
    <w:name w:val="AOGenNum3List7"/>
    <w:basedOn w:val="AOGenNum3List"/>
    <w:uiPriority w:val="46"/>
    <w:rsid w:val="00137772"/>
    <w:pPr>
      <w:numPr>
        <w:ilvl w:val="7"/>
      </w:numPr>
    </w:pPr>
  </w:style>
  <w:style w:type="paragraph" w:customStyle="1" w:styleId="AOGenNum3List8">
    <w:name w:val="AOGenNum3List8"/>
    <w:basedOn w:val="AOGenNum3List"/>
    <w:uiPriority w:val="46"/>
    <w:rsid w:val="00137772"/>
    <w:pPr>
      <w:numPr>
        <w:ilvl w:val="8"/>
      </w:numPr>
    </w:pPr>
  </w:style>
  <w:style w:type="paragraph" w:customStyle="1" w:styleId="AOListNumberL2">
    <w:name w:val="AOListNumberL2"/>
    <w:basedOn w:val="AOListNumber"/>
    <w:uiPriority w:val="49"/>
    <w:rsid w:val="00137772"/>
    <w:pPr>
      <w:numPr>
        <w:ilvl w:val="1"/>
      </w:numPr>
    </w:pPr>
  </w:style>
  <w:style w:type="paragraph" w:customStyle="1" w:styleId="AOListNumberL3">
    <w:name w:val="AOListNumberL3"/>
    <w:basedOn w:val="AOListNumber"/>
    <w:uiPriority w:val="49"/>
    <w:rsid w:val="00137772"/>
    <w:pPr>
      <w:numPr>
        <w:ilvl w:val="2"/>
      </w:numPr>
    </w:pPr>
  </w:style>
  <w:style w:type="paragraph" w:customStyle="1" w:styleId="AOListNumberL4">
    <w:name w:val="AOListNumberL4"/>
    <w:basedOn w:val="AOListNumber"/>
    <w:uiPriority w:val="49"/>
    <w:rsid w:val="00137772"/>
    <w:pPr>
      <w:numPr>
        <w:ilvl w:val="3"/>
      </w:numPr>
    </w:pPr>
  </w:style>
  <w:style w:type="paragraph" w:customStyle="1" w:styleId="AOListNumberL5">
    <w:name w:val="AOListNumberL5"/>
    <w:basedOn w:val="AOListNumber"/>
    <w:uiPriority w:val="49"/>
    <w:rsid w:val="00137772"/>
    <w:pPr>
      <w:numPr>
        <w:ilvl w:val="4"/>
      </w:numPr>
    </w:pPr>
  </w:style>
  <w:style w:type="paragraph" w:customStyle="1" w:styleId="AOListNumberL6">
    <w:name w:val="AOListNumberL6"/>
    <w:basedOn w:val="AOListNumber"/>
    <w:uiPriority w:val="49"/>
    <w:rsid w:val="00137772"/>
    <w:pPr>
      <w:numPr>
        <w:ilvl w:val="5"/>
      </w:numPr>
    </w:pPr>
  </w:style>
  <w:style w:type="paragraph" w:customStyle="1" w:styleId="AOListNumberL7">
    <w:name w:val="AOListNumberL7"/>
    <w:basedOn w:val="AOListNumber"/>
    <w:uiPriority w:val="49"/>
    <w:rsid w:val="00137772"/>
    <w:pPr>
      <w:numPr>
        <w:ilvl w:val="6"/>
      </w:numPr>
    </w:pPr>
  </w:style>
  <w:style w:type="paragraph" w:customStyle="1" w:styleId="AOListNumberL8">
    <w:name w:val="AOListNumberL8"/>
    <w:basedOn w:val="AOListNumber"/>
    <w:uiPriority w:val="49"/>
    <w:rsid w:val="00137772"/>
    <w:pPr>
      <w:numPr>
        <w:ilvl w:val="7"/>
      </w:numPr>
    </w:pPr>
  </w:style>
  <w:style w:type="paragraph" w:customStyle="1" w:styleId="AOListNumberL9">
    <w:name w:val="AOListNumberL9"/>
    <w:basedOn w:val="AOListNumber"/>
    <w:uiPriority w:val="49"/>
    <w:rsid w:val="00137772"/>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4346">
      <w:bodyDiv w:val="1"/>
      <w:marLeft w:val="0"/>
      <w:marRight w:val="0"/>
      <w:marTop w:val="0"/>
      <w:marBottom w:val="0"/>
      <w:divBdr>
        <w:top w:val="none" w:sz="0" w:space="0" w:color="auto"/>
        <w:left w:val="none" w:sz="0" w:space="0" w:color="auto"/>
        <w:bottom w:val="none" w:sz="0" w:space="0" w:color="auto"/>
        <w:right w:val="none" w:sz="0" w:space="0" w:color="auto"/>
      </w:divBdr>
    </w:div>
    <w:div w:id="328795112">
      <w:bodyDiv w:val="1"/>
      <w:marLeft w:val="0"/>
      <w:marRight w:val="0"/>
      <w:marTop w:val="0"/>
      <w:marBottom w:val="0"/>
      <w:divBdr>
        <w:top w:val="none" w:sz="0" w:space="0" w:color="auto"/>
        <w:left w:val="none" w:sz="0" w:space="0" w:color="auto"/>
        <w:bottom w:val="none" w:sz="0" w:space="0" w:color="auto"/>
        <w:right w:val="none" w:sz="0" w:space="0" w:color="auto"/>
      </w:divBdr>
    </w:div>
    <w:div w:id="489293160">
      <w:bodyDiv w:val="1"/>
      <w:marLeft w:val="0"/>
      <w:marRight w:val="0"/>
      <w:marTop w:val="0"/>
      <w:marBottom w:val="0"/>
      <w:divBdr>
        <w:top w:val="none" w:sz="0" w:space="0" w:color="auto"/>
        <w:left w:val="none" w:sz="0" w:space="0" w:color="auto"/>
        <w:bottom w:val="none" w:sz="0" w:space="0" w:color="auto"/>
        <w:right w:val="none" w:sz="0" w:space="0" w:color="auto"/>
      </w:divBdr>
    </w:div>
    <w:div w:id="505823896">
      <w:bodyDiv w:val="1"/>
      <w:marLeft w:val="0"/>
      <w:marRight w:val="0"/>
      <w:marTop w:val="0"/>
      <w:marBottom w:val="0"/>
      <w:divBdr>
        <w:top w:val="none" w:sz="0" w:space="0" w:color="auto"/>
        <w:left w:val="none" w:sz="0" w:space="0" w:color="auto"/>
        <w:bottom w:val="none" w:sz="0" w:space="0" w:color="auto"/>
        <w:right w:val="none" w:sz="0" w:space="0" w:color="auto"/>
      </w:divBdr>
    </w:div>
    <w:div w:id="647366024">
      <w:bodyDiv w:val="1"/>
      <w:marLeft w:val="0"/>
      <w:marRight w:val="0"/>
      <w:marTop w:val="0"/>
      <w:marBottom w:val="0"/>
      <w:divBdr>
        <w:top w:val="none" w:sz="0" w:space="0" w:color="auto"/>
        <w:left w:val="none" w:sz="0" w:space="0" w:color="auto"/>
        <w:bottom w:val="none" w:sz="0" w:space="0" w:color="auto"/>
        <w:right w:val="none" w:sz="0" w:space="0" w:color="auto"/>
      </w:divBdr>
    </w:div>
    <w:div w:id="669719127">
      <w:bodyDiv w:val="1"/>
      <w:marLeft w:val="0"/>
      <w:marRight w:val="0"/>
      <w:marTop w:val="0"/>
      <w:marBottom w:val="0"/>
      <w:divBdr>
        <w:top w:val="none" w:sz="0" w:space="0" w:color="auto"/>
        <w:left w:val="none" w:sz="0" w:space="0" w:color="auto"/>
        <w:bottom w:val="none" w:sz="0" w:space="0" w:color="auto"/>
        <w:right w:val="none" w:sz="0" w:space="0" w:color="auto"/>
      </w:divBdr>
    </w:div>
    <w:div w:id="1014917176">
      <w:bodyDiv w:val="1"/>
      <w:marLeft w:val="0"/>
      <w:marRight w:val="0"/>
      <w:marTop w:val="0"/>
      <w:marBottom w:val="0"/>
      <w:divBdr>
        <w:top w:val="none" w:sz="0" w:space="0" w:color="auto"/>
        <w:left w:val="none" w:sz="0" w:space="0" w:color="auto"/>
        <w:bottom w:val="none" w:sz="0" w:space="0" w:color="auto"/>
        <w:right w:val="none" w:sz="0" w:space="0" w:color="auto"/>
      </w:divBdr>
    </w:div>
    <w:div w:id="1062367680">
      <w:bodyDiv w:val="1"/>
      <w:marLeft w:val="0"/>
      <w:marRight w:val="0"/>
      <w:marTop w:val="0"/>
      <w:marBottom w:val="0"/>
      <w:divBdr>
        <w:top w:val="none" w:sz="0" w:space="0" w:color="auto"/>
        <w:left w:val="none" w:sz="0" w:space="0" w:color="auto"/>
        <w:bottom w:val="none" w:sz="0" w:space="0" w:color="auto"/>
        <w:right w:val="none" w:sz="0" w:space="0" w:color="auto"/>
      </w:divBdr>
    </w:div>
    <w:div w:id="1138378242">
      <w:bodyDiv w:val="1"/>
      <w:marLeft w:val="0"/>
      <w:marRight w:val="0"/>
      <w:marTop w:val="0"/>
      <w:marBottom w:val="0"/>
      <w:divBdr>
        <w:top w:val="none" w:sz="0" w:space="0" w:color="auto"/>
        <w:left w:val="none" w:sz="0" w:space="0" w:color="auto"/>
        <w:bottom w:val="none" w:sz="0" w:space="0" w:color="auto"/>
        <w:right w:val="none" w:sz="0" w:space="0" w:color="auto"/>
      </w:divBdr>
    </w:div>
    <w:div w:id="1340156029">
      <w:bodyDiv w:val="1"/>
      <w:marLeft w:val="0"/>
      <w:marRight w:val="0"/>
      <w:marTop w:val="0"/>
      <w:marBottom w:val="0"/>
      <w:divBdr>
        <w:top w:val="none" w:sz="0" w:space="0" w:color="auto"/>
        <w:left w:val="none" w:sz="0" w:space="0" w:color="auto"/>
        <w:bottom w:val="none" w:sz="0" w:space="0" w:color="auto"/>
        <w:right w:val="none" w:sz="0" w:space="0" w:color="auto"/>
      </w:divBdr>
    </w:div>
    <w:div w:id="1362391126">
      <w:bodyDiv w:val="1"/>
      <w:marLeft w:val="0"/>
      <w:marRight w:val="0"/>
      <w:marTop w:val="0"/>
      <w:marBottom w:val="0"/>
      <w:divBdr>
        <w:top w:val="none" w:sz="0" w:space="0" w:color="auto"/>
        <w:left w:val="none" w:sz="0" w:space="0" w:color="auto"/>
        <w:bottom w:val="none" w:sz="0" w:space="0" w:color="auto"/>
        <w:right w:val="none" w:sz="0" w:space="0" w:color="auto"/>
      </w:divBdr>
    </w:div>
    <w:div w:id="1517385075">
      <w:bodyDiv w:val="1"/>
      <w:marLeft w:val="0"/>
      <w:marRight w:val="0"/>
      <w:marTop w:val="0"/>
      <w:marBottom w:val="0"/>
      <w:divBdr>
        <w:top w:val="none" w:sz="0" w:space="0" w:color="auto"/>
        <w:left w:val="none" w:sz="0" w:space="0" w:color="auto"/>
        <w:bottom w:val="none" w:sz="0" w:space="0" w:color="auto"/>
        <w:right w:val="none" w:sz="0" w:space="0" w:color="auto"/>
      </w:divBdr>
    </w:div>
    <w:div w:id="1648582244">
      <w:bodyDiv w:val="1"/>
      <w:marLeft w:val="0"/>
      <w:marRight w:val="0"/>
      <w:marTop w:val="0"/>
      <w:marBottom w:val="0"/>
      <w:divBdr>
        <w:top w:val="none" w:sz="0" w:space="0" w:color="auto"/>
        <w:left w:val="none" w:sz="0" w:space="0" w:color="auto"/>
        <w:bottom w:val="none" w:sz="0" w:space="0" w:color="auto"/>
        <w:right w:val="none" w:sz="0" w:space="0" w:color="auto"/>
      </w:divBdr>
    </w:div>
    <w:div w:id="1668754034">
      <w:bodyDiv w:val="1"/>
      <w:marLeft w:val="0"/>
      <w:marRight w:val="0"/>
      <w:marTop w:val="0"/>
      <w:marBottom w:val="0"/>
      <w:divBdr>
        <w:top w:val="none" w:sz="0" w:space="0" w:color="auto"/>
        <w:left w:val="none" w:sz="0" w:space="0" w:color="auto"/>
        <w:bottom w:val="none" w:sz="0" w:space="0" w:color="auto"/>
        <w:right w:val="none" w:sz="0" w:space="0" w:color="auto"/>
      </w:divBdr>
    </w:div>
    <w:div w:id="1728646326">
      <w:bodyDiv w:val="1"/>
      <w:marLeft w:val="0"/>
      <w:marRight w:val="0"/>
      <w:marTop w:val="0"/>
      <w:marBottom w:val="0"/>
      <w:divBdr>
        <w:top w:val="none" w:sz="0" w:space="0" w:color="auto"/>
        <w:left w:val="none" w:sz="0" w:space="0" w:color="auto"/>
        <w:bottom w:val="none" w:sz="0" w:space="0" w:color="auto"/>
        <w:right w:val="none" w:sz="0" w:space="0" w:color="auto"/>
      </w:divBdr>
    </w:div>
    <w:div w:id="1799880740">
      <w:bodyDiv w:val="1"/>
      <w:marLeft w:val="0"/>
      <w:marRight w:val="0"/>
      <w:marTop w:val="0"/>
      <w:marBottom w:val="0"/>
      <w:divBdr>
        <w:top w:val="none" w:sz="0" w:space="0" w:color="auto"/>
        <w:left w:val="none" w:sz="0" w:space="0" w:color="auto"/>
        <w:bottom w:val="none" w:sz="0" w:space="0" w:color="auto"/>
        <w:right w:val="none" w:sz="0" w:space="0" w:color="auto"/>
      </w:divBdr>
    </w:div>
    <w:div w:id="1829899765">
      <w:bodyDiv w:val="1"/>
      <w:marLeft w:val="0"/>
      <w:marRight w:val="0"/>
      <w:marTop w:val="0"/>
      <w:marBottom w:val="0"/>
      <w:divBdr>
        <w:top w:val="none" w:sz="0" w:space="0" w:color="auto"/>
        <w:left w:val="none" w:sz="0" w:space="0" w:color="auto"/>
        <w:bottom w:val="none" w:sz="0" w:space="0" w:color="auto"/>
        <w:right w:val="none" w:sz="0" w:space="0" w:color="auto"/>
      </w:divBdr>
    </w:div>
    <w:div w:id="20132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imanage.xml" Type="http://schemas.openxmlformats.org/officeDocument/2006/relationships/customXml" Target="/customXML/item.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4.xml"/></Relationships>
</file>

<file path=customXML/item.xml>��< ? x m l   v e r s i o n = " 1 . 0 "   e n c o d i n g = " u t f - 1 6 " ? > < p r o p e r t i e s   x m l n s = " h t t p : / / w w w . i m a n a g e . c o m / w o r k / x m l s c h e m a " >  
     < d o c u m e n t i d > U K O 2 ! 2 0 1 0 4 0 1 8 3 0 . 7 < / d o c u m e n t i d >  
     < s e n d e r i d > P U L I D O S < / s e n d e r i d >  
     < s e n d e r e m a i l > S E B A S T I A N . P U L I D O @ A L L E N O V E R Y . C O M < / s e n d e r e m a i l >  
     < l a s t m o d i f i e d > 2 0 2 5 - 0 6 - 0 3 T 1 9 : 5 6 : 0 0 . 0 0 0 0 0 0 0 + 0 2 : 0 0 < / l a s t m o d i f i e d >  
     < d a t a b a s e > U K O 2 < / d a t a b a s e >  
 < / p r o p e r t i e s > 
</file>

<file path=customXML/item1.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97B7DA-9708-4812-ACF9-A639F3DBDAE0}"/>
</file>

<file path=customXML/itemProps2.xml><?xml version="1.0" encoding="utf-8"?>
<ds:datastoreItem xmlns:ds="http://schemas.openxmlformats.org/officeDocument/2006/customXml" ds:itemID="{60908322-BA5B-4384-93CD-C3B281CF0A42}"/>
</file>

<file path=customXML/itemProps3.xml><?xml version="1.0" encoding="utf-8"?>
<ds:datastoreItem xmlns:ds="http://schemas.openxmlformats.org/officeDocument/2006/customXml" ds:itemID="{EE5FF9EE-E661-48B2-9C93-9DA63E4614A2}"/>
</file>

<file path=customXML/itemProps4.xml><?xml version="1.0" encoding="utf-8"?>
<ds:datastoreItem xmlns:ds="http://schemas.openxmlformats.org/officeDocument/2006/customXml" ds:itemID="{5859690B-834F-4F81-9749-86EB5E820DC3}"/>
</file>

<file path=docProps/app.xml><?xml version="1.0" encoding="utf-8"?>
<Properties xmlns="http://schemas.openxmlformats.org/officeDocument/2006/extended-properties" xmlns:vt="http://schemas.openxmlformats.org/officeDocument/2006/docPropsVTypes">
  <Template>Normal</Template>
  <TotalTime>82</TotalTime>
  <Pages>59</Pages>
  <Words>25091</Words>
  <Characters>130980</Characters>
  <Application>Microsoft Office Word</Application>
  <DocSecurity>0</DocSecurity>
  <Lines>4366</Lines>
  <Paragraphs>1147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A&amp;O Shearman</cp:lastModifiedBy>
  <cp:revision>19</cp:revision>
  <dcterms:created xsi:type="dcterms:W3CDTF">2025-06-03T15:01:00Z</dcterms:created>
  <dcterms:modified xsi:type="dcterms:W3CDTF">2025-06-03T17:56:00Z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2022-03-29T08:36:08Z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6c47e822-ac6b-4d89-91f6-350d7c9e0a17</vt:lpwstr>
  </property>
  <property fmtid="{D5CDD505-2E9C-101B-9397-08002B2CF9AE}" pid="8" name="MSIP_Label_42e67a54-274b-43d7-8098-b3ba5f50e576_ContentBits">
    <vt:lpwstr>0</vt:lpwstr>
  </property>
  <property fmtid="{D5CDD505-2E9C-101B-9397-08002B2CF9AE}" pid="9" name="Client">
    <vt:lpwstr>0119761</vt:lpwstr>
  </property>
  <property fmtid="{D5CDD505-2E9C-101B-9397-08002B2CF9AE}" pid="10" name="Matter">
    <vt:lpwstr>0000002</vt:lpwstr>
  </property>
  <property fmtid="{D5CDD505-2E9C-101B-9397-08002B2CF9AE}" pid="11" name="cpDocRef">
    <vt:lpwstr>UKO2: 2010401830.7</vt:lpwstr>
  </property>
  <property fmtid="{D5CDD505-2E9C-101B-9397-08002B2CF9AE}" pid="12" name="cpClientMatter">
    <vt:lpwstr>0119761-0000002</vt:lpwstr>
  </property>
  <property fmtid="{D5CDD505-2E9C-101B-9397-08002B2CF9AE}" pid="13" name="cpCombinedRef">
    <vt:lpwstr>0119761-0000002 UKO2: 2010401830.7</vt:lpwstr>
  </property>
  <property fmtid="{D5CDD505-2E9C-101B-9397-08002B2CF9AE}" pid="14" name="Order">
    <vt:r8>102600</vt:r8>
  </property>
  <property fmtid="{D5CDD505-2E9C-101B-9397-08002B2CF9AE}" pid="15" name="ContentTypeId">
    <vt:lpwstr>0x010100DC6ED0554182DC4A8A3F27E5A787D76D</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ies>
</file>